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bookmarkStart w:id="3" w:name="_GoBack"/>
      <w:bookmarkEnd w:id="3"/>
      <w:bookmarkStart w:id="0" w:name="_Toc99301424"/>
      <w:r>
        <w:rPr>
          <w:b/>
          <w:sz w:val="36"/>
          <w:szCs w:val="36"/>
          <w:highlight w:val="none"/>
        </w:rPr>
        <w:t>采购需求</w:t>
      </w:r>
      <w:bookmarkEnd w:id="0"/>
    </w:p>
    <w:p>
      <w:pPr>
        <w:pStyle w:val="66"/>
        <w:numPr>
          <w:ilvl w:val="0"/>
          <w:numId w:val="8"/>
        </w:numPr>
        <w:spacing w:line="360" w:lineRule="auto"/>
        <w:ind w:firstLineChars="0"/>
        <w:contextualSpacing/>
        <w:rPr>
          <w:rFonts w:ascii="Times New Roman" w:hAnsi="Times New Roman"/>
          <w:b/>
          <w:sz w:val="24"/>
          <w:szCs w:val="24"/>
          <w:highlight w:val="none"/>
        </w:rPr>
      </w:pPr>
      <w:r>
        <w:rPr>
          <w:rFonts w:ascii="Times New Roman" w:hAnsi="Times New Roman"/>
          <w:b/>
          <w:sz w:val="24"/>
          <w:szCs w:val="24"/>
          <w:highlight w:val="none"/>
        </w:rPr>
        <w:t>采购标的</w:t>
      </w:r>
    </w:p>
    <w:p>
      <w:pPr>
        <w:spacing w:line="360" w:lineRule="auto"/>
        <w:contextualSpacing/>
        <w:outlineLvl w:val="1"/>
        <w:rPr>
          <w:bCs/>
          <w:sz w:val="24"/>
          <w:highlight w:val="none"/>
        </w:rPr>
      </w:pPr>
      <w:r>
        <w:rPr>
          <w:bCs/>
          <w:sz w:val="24"/>
          <w:highlight w:val="none"/>
        </w:rPr>
        <w:t>1. 采购标的</w:t>
      </w:r>
    </w:p>
    <w:p>
      <w:pPr>
        <w:adjustRightInd w:val="0"/>
        <w:snapToGrid w:val="0"/>
        <w:spacing w:line="360" w:lineRule="auto"/>
        <w:rPr>
          <w:rFonts w:hint="eastAsia" w:ascii="宋体" w:hAnsi="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首都之窗运行管理中心2026年市政府门户网站（</w:t>
      </w:r>
      <w:r>
        <w:rPr>
          <w:rFonts w:hint="eastAsia" w:ascii="宋体" w:hAnsi="宋体" w:cs="宋体"/>
          <w:sz w:val="24"/>
          <w:highlight w:val="none"/>
          <w:u w:val="single"/>
          <w:lang w:eastAsia="zh-CN"/>
        </w:rPr>
        <w:t>“</w:t>
      </w:r>
      <w:r>
        <w:rPr>
          <w:rFonts w:hint="eastAsia" w:ascii="宋体" w:hAnsi="宋体" w:cs="宋体"/>
          <w:sz w:val="24"/>
          <w:highlight w:val="none"/>
          <w:u w:val="single"/>
        </w:rPr>
        <w:t>京策</w:t>
      </w:r>
      <w:r>
        <w:rPr>
          <w:rFonts w:hint="eastAsia" w:ascii="宋体" w:hAnsi="宋体" w:cs="宋体"/>
          <w:sz w:val="24"/>
          <w:highlight w:val="none"/>
          <w:u w:val="single"/>
          <w:lang w:eastAsia="zh-CN"/>
        </w:rPr>
        <w:t>”</w:t>
      </w:r>
      <w:r>
        <w:rPr>
          <w:rFonts w:hint="eastAsia" w:ascii="宋体" w:hAnsi="宋体" w:cs="宋体"/>
          <w:sz w:val="24"/>
          <w:highlight w:val="none"/>
          <w:u w:val="single"/>
        </w:rPr>
        <w:t>平台）云服务租用采购项目</w:t>
      </w:r>
      <w:r>
        <w:rPr>
          <w:rFonts w:hint="eastAsia" w:ascii="宋体" w:hAnsi="宋体" w:cs="宋体"/>
          <w:sz w:val="24"/>
          <w:highlight w:val="none"/>
          <w:u w:val="single"/>
          <w:lang w:val="en-US" w:eastAsia="zh-CN"/>
        </w:rPr>
        <w:t xml:space="preserve"> </w:t>
      </w:r>
      <w:r>
        <w:rPr>
          <w:rFonts w:hint="eastAsia" w:ascii="宋体" w:hAnsi="宋体"/>
          <w:sz w:val="24"/>
          <w:highlight w:val="none"/>
        </w:rPr>
        <w:t xml:space="preserve"> </w:t>
      </w:r>
    </w:p>
    <w:p>
      <w:p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合同履行期限：</w:t>
      </w:r>
      <w:r>
        <w:rPr>
          <w:rFonts w:hint="eastAsia" w:ascii="宋体" w:hAnsi="宋体" w:cs="宋体"/>
          <w:sz w:val="24"/>
          <w:highlight w:val="none"/>
          <w:u w:val="single"/>
        </w:rPr>
        <w:t xml:space="preserve"> </w:t>
      </w:r>
      <w:r>
        <w:rPr>
          <w:rFonts w:hint="eastAsia"/>
          <w:sz w:val="24"/>
          <w:highlight w:val="none"/>
          <w:u w:val="single"/>
        </w:rPr>
        <w:t xml:space="preserve">自合同签订生效之日起12个月。 </w:t>
      </w:r>
    </w:p>
    <w:p>
      <w:pPr>
        <w:spacing w:line="360" w:lineRule="auto"/>
        <w:contextualSpacing/>
        <w:outlineLvl w:val="1"/>
        <w:rPr>
          <w:bCs/>
          <w:sz w:val="24"/>
          <w:highlight w:val="none"/>
        </w:rPr>
      </w:pPr>
      <w:r>
        <w:rPr>
          <w:bCs/>
          <w:sz w:val="24"/>
          <w:highlight w:val="none"/>
        </w:rPr>
        <w:t>2. 项目</w:t>
      </w:r>
      <w:r>
        <w:rPr>
          <w:rFonts w:hint="eastAsia"/>
          <w:bCs/>
          <w:sz w:val="24"/>
          <w:highlight w:val="none"/>
        </w:rPr>
        <w:t>背景</w:t>
      </w:r>
    </w:p>
    <w:p>
      <w:pPr>
        <w:pStyle w:val="195"/>
        <w:tabs>
          <w:tab w:val="left" w:pos="1162"/>
        </w:tabs>
        <w:spacing w:line="360" w:lineRule="auto"/>
        <w:ind w:firstLine="480"/>
        <w:rPr>
          <w:rFonts w:hint="default" w:ascii="宋体" w:hAnsi="宋体" w:eastAsia="宋体"/>
          <w:sz w:val="24"/>
          <w:szCs w:val="24"/>
          <w:highlight w:val="none"/>
          <w:lang w:val="en-US" w:eastAsia="zh-CN"/>
        </w:rPr>
      </w:pPr>
      <w:bookmarkStart w:id="1" w:name="_Hlk98493309"/>
      <w:r>
        <w:rPr>
          <w:rFonts w:hint="eastAsia" w:ascii="宋体" w:hAnsi="宋体" w:eastAsia="宋体" w:cs="宋体"/>
          <w:color w:val="auto"/>
          <w:sz w:val="24"/>
          <w:szCs w:val="24"/>
          <w:highlight w:val="none"/>
          <w:lang w:val="en-US" w:eastAsia="zh-CN"/>
        </w:rPr>
        <w:t>为贯彻国务院《关于加强数字政府建设的指导意见》（国发〔2022〕14号），进一步推动《北京市深化政务公开促进政策服务工作办法》落实，强化政策落地全流程管理，建设了全市一体化政策支撑平台（“京策”平台）。按照</w:t>
      </w:r>
      <w:r>
        <w:rPr>
          <w:rFonts w:hint="eastAsia" w:ascii="宋体" w:hAnsi="宋体"/>
          <w:sz w:val="24"/>
          <w:szCs w:val="24"/>
          <w:highlight w:val="none"/>
        </w:rPr>
        <w:t>北京市经济和信息化局关于印发《北京市市级政务云管理办法的通知》（京经信委函（2019）150号）文件的要求，</w:t>
      </w:r>
      <w:r>
        <w:rPr>
          <w:rFonts w:hint="eastAsia" w:ascii="宋体" w:hAnsi="宋体"/>
          <w:sz w:val="24"/>
          <w:szCs w:val="24"/>
          <w:highlight w:val="none"/>
          <w:lang w:val="en-US" w:eastAsia="zh-CN"/>
        </w:rPr>
        <w:t>我单位现有信息系统“京策”平台的政策兑现、政策推演、政策推送、政策运维等子系统已使用市政务云。</w:t>
      </w:r>
    </w:p>
    <w:p>
      <w:pPr>
        <w:pStyle w:val="195"/>
        <w:tabs>
          <w:tab w:val="left" w:pos="1162"/>
        </w:tabs>
        <w:spacing w:line="360" w:lineRule="auto"/>
        <w:ind w:firstLine="480"/>
        <w:rPr>
          <w:rFonts w:hint="eastAsia" w:ascii="宋体" w:hAnsi="宋体"/>
          <w:sz w:val="24"/>
          <w:szCs w:val="24"/>
          <w:highlight w:val="none"/>
        </w:rPr>
      </w:pPr>
      <w:r>
        <w:rPr>
          <w:rFonts w:hint="eastAsia" w:ascii="宋体" w:hAnsi="宋体"/>
          <w:sz w:val="24"/>
          <w:szCs w:val="24"/>
          <w:highlight w:val="none"/>
          <w:lang w:val="en-US" w:eastAsia="zh-CN"/>
        </w:rPr>
        <w:t>“</w:t>
      </w:r>
      <w:r>
        <w:rPr>
          <w:rFonts w:hint="default" w:ascii="宋体" w:hAnsi="宋体"/>
          <w:sz w:val="24"/>
          <w:szCs w:val="24"/>
          <w:highlight w:val="none"/>
          <w:lang w:val="en-US" w:eastAsia="zh-CN"/>
        </w:rPr>
        <w:t>首都之窗运行管理中心2026年市政府门户网站（</w:t>
      </w:r>
      <w:r>
        <w:rPr>
          <w:rFonts w:hint="eastAsia" w:ascii="宋体" w:hAnsi="宋体" w:cs="宋体"/>
          <w:sz w:val="24"/>
          <w:highlight w:val="none"/>
          <w:u w:val="none"/>
          <w:lang w:eastAsia="zh-CN"/>
        </w:rPr>
        <w:t>“</w:t>
      </w:r>
      <w:r>
        <w:rPr>
          <w:rFonts w:hint="default" w:ascii="宋体" w:hAnsi="宋体"/>
          <w:sz w:val="24"/>
          <w:szCs w:val="24"/>
          <w:highlight w:val="none"/>
          <w:lang w:val="en-US" w:eastAsia="zh-CN"/>
        </w:rPr>
        <w:t>京策</w:t>
      </w:r>
      <w:r>
        <w:rPr>
          <w:rFonts w:hint="eastAsia" w:ascii="宋体" w:hAnsi="宋体"/>
          <w:sz w:val="24"/>
          <w:szCs w:val="24"/>
          <w:highlight w:val="none"/>
          <w:lang w:val="en-US" w:eastAsia="zh-CN"/>
        </w:rPr>
        <w:t>”</w:t>
      </w:r>
      <w:r>
        <w:rPr>
          <w:rFonts w:hint="default" w:ascii="宋体" w:hAnsi="宋体"/>
          <w:sz w:val="24"/>
          <w:szCs w:val="24"/>
          <w:highlight w:val="none"/>
          <w:lang w:val="en-US" w:eastAsia="zh-CN"/>
        </w:rPr>
        <w:t>平台）云服务租用采购项目</w:t>
      </w:r>
      <w:r>
        <w:rPr>
          <w:rFonts w:hint="eastAsia" w:ascii="宋体" w:hAnsi="宋体"/>
          <w:sz w:val="24"/>
          <w:szCs w:val="24"/>
          <w:highlight w:val="none"/>
          <w:lang w:val="en-US" w:eastAsia="zh-CN"/>
        </w:rPr>
        <w:t>”</w:t>
      </w:r>
      <w:r>
        <w:rPr>
          <w:rFonts w:hint="eastAsia" w:ascii="宋体" w:hAnsi="宋体"/>
          <w:sz w:val="24"/>
          <w:szCs w:val="24"/>
          <w:highlight w:val="none"/>
        </w:rPr>
        <w:t>是对</w:t>
      </w:r>
      <w:r>
        <w:rPr>
          <w:rFonts w:hint="eastAsia" w:ascii="宋体" w:hAnsi="宋体"/>
          <w:sz w:val="24"/>
          <w:szCs w:val="24"/>
          <w:highlight w:val="none"/>
          <w:lang w:val="en-US" w:eastAsia="zh-CN"/>
        </w:rPr>
        <w:t>“京策”平台</w:t>
      </w:r>
      <w:r>
        <w:rPr>
          <w:rFonts w:hint="eastAsia" w:ascii="宋体" w:hAnsi="宋体"/>
          <w:sz w:val="24"/>
          <w:szCs w:val="24"/>
          <w:highlight w:val="none"/>
        </w:rPr>
        <w:t>已入云系统的延续性政务云服务租赁，按照政府网站建设的统一标准规范，统一租用</w:t>
      </w:r>
      <w:r>
        <w:rPr>
          <w:rFonts w:hint="eastAsia" w:ascii="宋体" w:hAnsi="宋体"/>
          <w:sz w:val="24"/>
          <w:szCs w:val="24"/>
          <w:highlight w:val="none"/>
          <w:lang w:val="en-US" w:eastAsia="zh-CN"/>
        </w:rPr>
        <w:t>政务云服务资源，提供</w:t>
      </w:r>
      <w:r>
        <w:rPr>
          <w:rFonts w:hint="eastAsia" w:ascii="宋体" w:hAnsi="宋体"/>
          <w:sz w:val="24"/>
          <w:szCs w:val="24"/>
          <w:highlight w:val="none"/>
        </w:rPr>
        <w:t>平台整体的运维监管，</w:t>
      </w:r>
      <w:r>
        <w:rPr>
          <w:rFonts w:hint="eastAsia" w:ascii="宋体" w:hAnsi="宋体"/>
          <w:sz w:val="24"/>
          <w:szCs w:val="24"/>
          <w:highlight w:val="none"/>
          <w:lang w:val="en-US" w:eastAsia="zh-CN"/>
        </w:rPr>
        <w:t>实现“京策”平台的安全稳定运行。</w:t>
      </w:r>
    </w:p>
    <w:p>
      <w:pPr>
        <w:pStyle w:val="66"/>
        <w:numPr>
          <w:ilvl w:val="0"/>
          <w:numId w:val="8"/>
        </w:numPr>
        <w:ind w:firstLineChars="0"/>
        <w:contextualSpacing/>
        <w:rPr>
          <w:rFonts w:ascii="Times New Roman" w:hAnsi="Times New Roman"/>
          <w:b/>
          <w:sz w:val="24"/>
          <w:szCs w:val="24"/>
          <w:highlight w:val="none"/>
        </w:rPr>
      </w:pPr>
      <w:r>
        <w:rPr>
          <w:rFonts w:ascii="Times New Roman" w:hAnsi="Times New Roman"/>
          <w:b/>
          <w:sz w:val="24"/>
          <w:szCs w:val="24"/>
          <w:highlight w:val="none"/>
        </w:rPr>
        <w:t>商务要求</w:t>
      </w:r>
    </w:p>
    <w:p>
      <w:pPr>
        <w:pStyle w:val="195"/>
        <w:tabs>
          <w:tab w:val="left" w:pos="1162"/>
        </w:tabs>
        <w:spacing w:line="360" w:lineRule="auto"/>
        <w:ind w:firstLine="0" w:firstLineChars="0"/>
        <w:rPr>
          <w:rFonts w:hint="eastAsia" w:ascii="宋体" w:hAnsi="宋体"/>
          <w:sz w:val="24"/>
          <w:szCs w:val="24"/>
          <w:highlight w:val="none"/>
        </w:rPr>
      </w:pPr>
      <w:r>
        <w:rPr>
          <w:rFonts w:hint="eastAsia" w:ascii="宋体" w:hAnsi="宋体"/>
          <w:sz w:val="24"/>
          <w:szCs w:val="24"/>
          <w:highlight w:val="none"/>
        </w:rPr>
        <w:t xml:space="preserve">   1.项目服务期及服务地点</w:t>
      </w:r>
    </w:p>
    <w:p>
      <w:pPr>
        <w:pStyle w:val="195"/>
        <w:tabs>
          <w:tab w:val="left" w:pos="1162"/>
        </w:tabs>
        <w:spacing w:line="360" w:lineRule="auto"/>
        <w:ind w:firstLineChars="0"/>
        <w:rPr>
          <w:rFonts w:hint="eastAsia" w:ascii="宋体" w:hAnsi="宋体"/>
          <w:szCs w:val="21"/>
          <w:highlight w:val="none"/>
        </w:rPr>
      </w:pPr>
      <w:r>
        <w:rPr>
          <w:rFonts w:hint="eastAsia" w:ascii="宋体" w:hAnsi="宋体"/>
          <w:sz w:val="24"/>
          <w:szCs w:val="24"/>
          <w:highlight w:val="none"/>
        </w:rPr>
        <w:t>（1）</w:t>
      </w:r>
      <w:r>
        <w:rPr>
          <w:rFonts w:hint="eastAsia"/>
          <w:color w:val="000000"/>
          <w:sz w:val="24"/>
          <w:szCs w:val="24"/>
          <w:highlight w:val="none"/>
        </w:rPr>
        <w:t>服务期限：</w:t>
      </w:r>
      <w:r>
        <w:rPr>
          <w:rFonts w:hint="eastAsia"/>
          <w:sz w:val="24"/>
          <w:highlight w:val="none"/>
        </w:rPr>
        <w:t>自合同签订生效之日起12个月</w:t>
      </w:r>
    </w:p>
    <w:p>
      <w:pPr>
        <w:pStyle w:val="195"/>
        <w:tabs>
          <w:tab w:val="left" w:pos="1162"/>
        </w:tabs>
        <w:spacing w:line="360" w:lineRule="auto"/>
        <w:ind w:firstLineChars="0"/>
        <w:rPr>
          <w:rFonts w:hint="eastAsia" w:eastAsia="宋体"/>
          <w:color w:val="000000"/>
          <w:sz w:val="24"/>
          <w:szCs w:val="24"/>
          <w:highlight w:val="none"/>
          <w:lang w:eastAsia="zh-CN"/>
        </w:rPr>
      </w:pPr>
      <w:r>
        <w:rPr>
          <w:rFonts w:hint="eastAsia" w:ascii="宋体" w:hAnsi="宋体"/>
          <w:sz w:val="24"/>
          <w:szCs w:val="24"/>
          <w:highlight w:val="none"/>
        </w:rPr>
        <w:t>（2）项目服务地点：</w:t>
      </w:r>
      <w:r>
        <w:rPr>
          <w:rFonts w:hint="eastAsia"/>
          <w:color w:val="000000"/>
          <w:sz w:val="24"/>
          <w:szCs w:val="24"/>
          <w:highlight w:val="none"/>
        </w:rPr>
        <w:t>北京市</w:t>
      </w:r>
      <w:r>
        <w:rPr>
          <w:rFonts w:hint="eastAsia"/>
          <w:sz w:val="24"/>
          <w:szCs w:val="24"/>
          <w:highlight w:val="none"/>
          <w:lang w:eastAsia="zh-CN"/>
        </w:rPr>
        <w:t>（目前</w:t>
      </w:r>
      <w:r>
        <w:rPr>
          <w:rFonts w:hint="eastAsia" w:ascii="宋体" w:hAnsi="宋体"/>
          <w:sz w:val="24"/>
          <w:szCs w:val="24"/>
          <w:highlight w:val="none"/>
          <w:lang w:val="en-US" w:eastAsia="zh-CN"/>
        </w:rPr>
        <w:t>“京策”平台</w:t>
      </w:r>
      <w:r>
        <w:rPr>
          <w:rFonts w:hint="eastAsia" w:ascii="宋体" w:hAnsi="宋体"/>
          <w:sz w:val="24"/>
          <w:szCs w:val="24"/>
          <w:highlight w:val="none"/>
        </w:rPr>
        <w:t>已入云系统</w:t>
      </w:r>
      <w:r>
        <w:rPr>
          <w:rFonts w:hint="eastAsia" w:ascii="宋体" w:hAnsi="宋体"/>
          <w:sz w:val="24"/>
          <w:szCs w:val="24"/>
          <w:highlight w:val="none"/>
          <w:lang w:eastAsia="zh-CN"/>
        </w:rPr>
        <w:t>部署在</w:t>
      </w:r>
      <w:r>
        <w:rPr>
          <w:rFonts w:hint="eastAsia"/>
          <w:sz w:val="24"/>
          <w:szCs w:val="24"/>
          <w:highlight w:val="none"/>
          <w:lang w:eastAsia="zh-CN"/>
        </w:rPr>
        <w:t>六里桥政务云机房，按照相关要求，</w:t>
      </w:r>
      <w:r>
        <w:rPr>
          <w:rFonts w:hint="eastAsia" w:ascii="宋体" w:hAnsi="宋体" w:cs="宋体"/>
          <w:sz w:val="24"/>
          <w:szCs w:val="24"/>
          <w:highlight w:val="none"/>
          <w:lang w:val="en-US" w:eastAsia="zh-CN"/>
        </w:rPr>
        <w:t>2026</w:t>
      </w:r>
      <w:r>
        <w:rPr>
          <w:rFonts w:hint="eastAsia"/>
          <w:sz w:val="24"/>
          <w:szCs w:val="24"/>
          <w:highlight w:val="none"/>
          <w:lang w:val="en-US" w:eastAsia="zh-CN"/>
        </w:rPr>
        <w:t>年</w:t>
      </w:r>
      <w:r>
        <w:rPr>
          <w:rFonts w:hint="eastAsia" w:ascii="宋体" w:hAnsi="宋体"/>
          <w:sz w:val="24"/>
          <w:szCs w:val="24"/>
          <w:highlight w:val="none"/>
          <w:lang w:val="en-US" w:eastAsia="zh-CN"/>
        </w:rPr>
        <w:t>“京策”平台</w:t>
      </w:r>
      <w:r>
        <w:rPr>
          <w:rFonts w:hint="eastAsia" w:ascii="宋体" w:hAnsi="宋体"/>
          <w:sz w:val="24"/>
          <w:szCs w:val="24"/>
          <w:highlight w:val="none"/>
        </w:rPr>
        <w:t>已入云系统</w:t>
      </w:r>
      <w:r>
        <w:rPr>
          <w:rFonts w:hint="eastAsia"/>
          <w:sz w:val="24"/>
          <w:szCs w:val="24"/>
          <w:highlight w:val="none"/>
          <w:lang w:eastAsia="zh-CN"/>
        </w:rPr>
        <w:t>将迁移到通州副中心数据机房，迁移时间以具体要求为准。）</w:t>
      </w:r>
    </w:p>
    <w:p>
      <w:pPr>
        <w:pStyle w:val="195"/>
        <w:tabs>
          <w:tab w:val="left" w:pos="1162"/>
        </w:tabs>
        <w:spacing w:line="360" w:lineRule="auto"/>
        <w:ind w:firstLine="0" w:firstLineChars="0"/>
        <w:rPr>
          <w:color w:val="000000"/>
          <w:sz w:val="24"/>
          <w:szCs w:val="24"/>
          <w:highlight w:val="none"/>
        </w:rPr>
      </w:pPr>
      <w:r>
        <w:rPr>
          <w:rFonts w:hint="eastAsia"/>
          <w:color w:val="000000"/>
          <w:sz w:val="24"/>
          <w:szCs w:val="24"/>
          <w:highlight w:val="none"/>
        </w:rPr>
        <w:t xml:space="preserve">   2.付款条件</w:t>
      </w:r>
    </w:p>
    <w:p>
      <w:pPr>
        <w:spacing w:line="360" w:lineRule="auto"/>
        <w:ind w:firstLine="480" w:firstLineChars="200"/>
        <w:rPr>
          <w:rFonts w:hint="eastAsia" w:ascii="宋体" w:hAnsi="宋体"/>
          <w:sz w:val="24"/>
          <w:highlight w:val="none"/>
        </w:rPr>
      </w:pPr>
      <w:r>
        <w:rPr>
          <w:rFonts w:hint="eastAsia" w:ascii="宋体" w:hAnsi="宋体"/>
          <w:sz w:val="24"/>
          <w:highlight w:val="none"/>
        </w:rPr>
        <w:t>自合同签署之日，</w:t>
      </w:r>
      <w:r>
        <w:rPr>
          <w:rFonts w:hint="eastAsia" w:ascii="宋体" w:hAnsi="宋体"/>
          <w:sz w:val="24"/>
          <w:highlight w:val="none"/>
          <w:lang w:eastAsia="zh-CN"/>
        </w:rPr>
        <w:t>且</w:t>
      </w:r>
      <w:r>
        <w:rPr>
          <w:rFonts w:hint="eastAsia" w:ascii="宋体" w:hAnsi="宋体"/>
          <w:sz w:val="24"/>
          <w:highlight w:val="none"/>
        </w:rPr>
        <w:t>项目财政资金拨付到位，</w:t>
      </w:r>
      <w:r>
        <w:rPr>
          <w:rFonts w:hint="eastAsia" w:ascii="宋体" w:hAnsi="宋体" w:cs="宋体"/>
          <w:bCs/>
          <w:sz w:val="24"/>
          <w:highlight w:val="none"/>
        </w:rPr>
        <w:t>采购人</w:t>
      </w:r>
      <w:r>
        <w:rPr>
          <w:rFonts w:hint="eastAsia" w:ascii="宋体" w:hAnsi="宋体"/>
          <w:sz w:val="24"/>
          <w:highlight w:val="none"/>
        </w:rPr>
        <w:t>收到合规发票之日起10个工作日内，支付服务费总额的63.5%；项目终验通过且项目财政资金拨付到位后，</w:t>
      </w:r>
      <w:r>
        <w:rPr>
          <w:rFonts w:hint="eastAsia" w:ascii="宋体" w:hAnsi="宋体" w:cs="宋体"/>
          <w:bCs/>
          <w:sz w:val="24"/>
          <w:highlight w:val="none"/>
        </w:rPr>
        <w:t>采购人</w:t>
      </w:r>
      <w:r>
        <w:rPr>
          <w:rFonts w:hint="eastAsia" w:ascii="宋体" w:hAnsi="宋体"/>
          <w:sz w:val="24"/>
          <w:highlight w:val="none"/>
        </w:rPr>
        <w:t>收到合规发票之日起10个工作日内，支付服务费总额的36.5%。</w:t>
      </w:r>
    </w:p>
    <w:p>
      <w:pPr>
        <w:pStyle w:val="66"/>
        <w:numPr>
          <w:ilvl w:val="0"/>
          <w:numId w:val="8"/>
        </w:numPr>
        <w:spacing w:line="360" w:lineRule="auto"/>
        <w:ind w:firstLineChars="0"/>
        <w:contextualSpacing/>
        <w:outlineLvl w:val="0"/>
        <w:rPr>
          <w:rFonts w:ascii="Times New Roman" w:hAnsi="Times New Roman"/>
          <w:b/>
          <w:sz w:val="24"/>
          <w:szCs w:val="24"/>
          <w:highlight w:val="none"/>
        </w:rPr>
      </w:pPr>
      <w:r>
        <w:rPr>
          <w:rFonts w:ascii="Times New Roman" w:hAnsi="Times New Roman"/>
          <w:b/>
          <w:sz w:val="24"/>
          <w:szCs w:val="24"/>
          <w:highlight w:val="none"/>
        </w:rPr>
        <w:t>技术要求</w:t>
      </w:r>
    </w:p>
    <w:p>
      <w:pPr>
        <w:spacing w:line="360" w:lineRule="auto"/>
        <w:contextualSpacing/>
        <w:outlineLvl w:val="1"/>
        <w:rPr>
          <w:sz w:val="24"/>
          <w:highlight w:val="none"/>
        </w:rPr>
      </w:pPr>
      <w:r>
        <w:rPr>
          <w:sz w:val="24"/>
          <w:highlight w:val="none"/>
        </w:rPr>
        <w:t>1. 基本要求</w:t>
      </w:r>
    </w:p>
    <w:p>
      <w:pPr>
        <w:spacing w:line="360" w:lineRule="auto"/>
        <w:ind w:firstLine="480" w:firstLineChars="200"/>
        <w:contextualSpacing/>
        <w:rPr>
          <w:sz w:val="24"/>
          <w:highlight w:val="none"/>
        </w:rPr>
      </w:pPr>
      <w:r>
        <w:rPr>
          <w:sz w:val="24"/>
          <w:highlight w:val="none"/>
        </w:rPr>
        <w:t>1.1 采购标的需实现的功能或者目标</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本项目的总体目标是通过租用政务云平台基础服务，对</w:t>
      </w:r>
      <w:r>
        <w:rPr>
          <w:rFonts w:hint="eastAsia" w:ascii="宋体" w:hAnsi="宋体" w:cs="宋体"/>
          <w:bCs/>
          <w:sz w:val="24"/>
          <w:highlight w:val="none"/>
          <w:lang w:eastAsia="zh-CN"/>
        </w:rPr>
        <w:t>“</w:t>
      </w:r>
      <w:r>
        <w:rPr>
          <w:rFonts w:hint="eastAsia" w:ascii="宋体" w:hAnsi="宋体" w:cs="宋体"/>
          <w:bCs/>
          <w:sz w:val="24"/>
          <w:highlight w:val="none"/>
          <w:lang w:val="en-US" w:eastAsia="zh-CN"/>
        </w:rPr>
        <w:t>京策</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平台</w:t>
      </w:r>
      <w:r>
        <w:rPr>
          <w:rFonts w:hint="eastAsia" w:ascii="宋体" w:hAnsi="宋体" w:cs="宋体"/>
          <w:bCs/>
          <w:sz w:val="24"/>
          <w:highlight w:val="none"/>
        </w:rPr>
        <w:t>的运行环境进行持续优化，提供可靠、稳定、安全的政务云基础服务，具体包括：</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（1）提供政务云基础服务，包括计算服务、存储服务和网络服务等基础环境日常维护、应急响应等工作。</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（2）提供7*24运维保障，做好重大活动和节假日应急值守保障服务，确保各系统在政务云环境中可靠稳定运行。</w:t>
      </w:r>
    </w:p>
    <w:p>
      <w:pPr>
        <w:snapToGrid w:val="0"/>
        <w:spacing w:line="360" w:lineRule="auto"/>
        <w:ind w:firstLine="480" w:firstLineChars="200"/>
        <w:rPr>
          <w:sz w:val="24"/>
          <w:highlight w:val="none"/>
        </w:rPr>
      </w:pPr>
      <w:r>
        <w:rPr>
          <w:rFonts w:hint="eastAsia" w:ascii="宋体" w:hAnsi="宋体" w:cs="宋体"/>
          <w:bCs/>
          <w:sz w:val="24"/>
          <w:highlight w:val="none"/>
        </w:rPr>
        <w:t>（3）服务期内，投标人须完成信息系统的日常运维和安全运维服务工作（包括但不限于：云平台服务、日常技术支持、系统日常维护、服务规范、安全及保密要求、响应的及时性），确保入云系统安全、稳定的运行。</w:t>
      </w:r>
    </w:p>
    <w:p>
      <w:pPr>
        <w:spacing w:line="360" w:lineRule="auto"/>
        <w:ind w:firstLine="480" w:firstLineChars="200"/>
        <w:contextualSpacing/>
        <w:rPr>
          <w:sz w:val="24"/>
          <w:highlight w:val="none"/>
        </w:rPr>
      </w:pPr>
      <w:r>
        <w:rPr>
          <w:sz w:val="24"/>
          <w:highlight w:val="none"/>
        </w:rPr>
        <w:t>1.2 需执行的国家相关标准、行业标准、地方标准或者其他标准、规范</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（1）国家及北京市有关政策</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《关键信息基础设施安全保护条例》（中华人民共和国国务院令第745号）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《国家政务信息化项目建设管理办法》（国办发〔2019〕57号）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《政府采购需求管理办法》(财库〔2021〕22号)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《关于促进政府采购公平竞争优化营商环境的通知》（财库〔2019〕38号）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《关于进一步提高政府采购透明度和采购效率相关事项的通知》（财办库〔2023〕243号）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《工业和信息化部信息通信管理局关于督促互联网网络接入服务企业依法持证经营的通知》（工信管函〔2018〕84号）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《云计算服务安全评估办法》（国家互联网信息办公室、国家发展和改革委员会、工业和信息化部、财政部公告2019年2号）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《关于加强党政部门云计算服务网络安全管理的意见》（中网办发文〔2014〕14号）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《基于云计算的电子政务公共平台顶层设计指南》</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《北京市财政局关于印发&lt;北京市政府采购负面清单&gt;的通知》（京财采购〔2020〕1345号）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《北京市财政局关于落实好政府采购支持中小企业发展的通知（京财采购〔2022〕1143号）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《关于印发&lt;关于推进我市政务信息系统整合共享的实施方案&gt;的通知》（京经信委发〔2017〕89号）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《北京市人民政府关于印发&lt;北京市政务信息资源管理办法（试行）&gt;的通知》（京政发〔2017〕37号）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《关于印发&lt;北京市市级政务云管理办法&gt;的通知》（京经信函〔2019〕150号）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《北京市政务网络和数据安全管理办法》（京经信发〔2023〕57号）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《北京市“十四五”时期智慧城市建设控制性规划要求（试行）》（京大数据发〔2021〕2号）</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（2）国家相关标准</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《国家电子政务外网安全接入平台技术规范》</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《信息技术—云计算—云服务质量评价指标》（GB/T 37738-2019）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《信息技术—云计算—云服务计量指标》（GB/T 37735-2019）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《信息技术—云计算—云服务采购指南》（GB/T 37734-2019）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《信息技术—云计算—云存储系统服务接口功能》（GB/T 37732-2019）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《信息技术—云计算—云资源监控通用要求》（GB/T 37736-2019）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《信息技术—云计算—云平台间应用和数据迁移指南》（GB/T 37740-2019）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《信息技术—云计算—云服务交付要求》（GB/T 37741-2019）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《信息系统灾难恢复规范》（GB/T 20988-2007）</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云计算服务安全能力要求》（GB/T 31168-2014）</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《信息安全技术网络安全等级保护定级指南》（GB/T22240-2020）</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《信息安全技术网络安全等级保护实施指南》（GB/T25058-2019）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《信息安全技术网络安全等级保护安全设计技术要求》（GB/T25070-2019）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《信息安全技术网络安全等级保护基本要求》（GB/T22239-2019）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《信息安全技术网络安全等级保护测评要求》（GB/T28448-20190）</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《信息安全技术网络安全等级保护测评过程指南》（GB/T28449-2018）</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《信息安全技术网络安全等级保护测试评估技术指南》（GB/T36627-2018）</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信息系统密码应用基本要求》（GB/T39786-2021）</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信息安全风险评估方法》（GB/T 20984-2022）</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云计算服务安全指南》（GB/T 31167-2014）</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政府网站云计算服务安全指南》（GB/T 38249—2019）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云计算安全参考架构》（GB/T 35279—2017）</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云计算服务安全能力评估方法》GB/T 34942—2017</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《信息安全技术 云计算服务运行监管框架》（GB/T 37972—2019）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 云资源监控指标体系》（GB/T 37938-2019）</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《电子信息系统机房设计规范》（GB50174-2017）</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《数据中心电信基础设施标准》（ANSI/TIA-942）</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《综合布线系统工程设计规范》（GB 50311—2016）</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《云计算关键领域安全指南V4.0》</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《信息技术互连国际标准》（ISO/IEC11801-2002）</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《信息技术系统间远程通信和信息交换局域网和城域网》GB/T15629.11-2003）</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（3）北京市相关标准</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《政务云平台建设技术要求》（DB11/T 2169-2023）</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《北京市政务云安全技术规范 IaaS云计算平台分册》</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《北京市政务云安全技术规范 IaaS云计算平台安全监管接口分册》</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《北京市政务云安全技术规范 信息安全服务接口分册》</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（4）其他</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《北京市市级行政事业单位云计算服务框架协议采购项目（2023 年度）》征集文件第四部分采购需求中技术要求</w:t>
      </w:r>
    </w:p>
    <w:p>
      <w:pPr>
        <w:pStyle w:val="18"/>
        <w:adjustRightInd w:val="0"/>
        <w:snapToGrid w:val="0"/>
        <w:spacing w:line="360" w:lineRule="auto"/>
        <w:ind w:left="425"/>
        <w:rPr>
          <w:rFonts w:hint="eastAsia" w:ascii="楷体" w:hAnsi="楷体" w:eastAsia="楷体" w:cs="宋体"/>
          <w:b/>
          <w:bCs/>
          <w:szCs w:val="21"/>
          <w:highlight w:val="none"/>
        </w:rPr>
      </w:pPr>
      <w:r>
        <w:rPr>
          <w:rFonts w:hint="eastAsia" w:ascii="楷体" w:hAnsi="楷体" w:eastAsia="楷体" w:cs="宋体"/>
          <w:b/>
          <w:bCs/>
          <w:szCs w:val="21"/>
          <w:highlight w:val="none"/>
        </w:rPr>
        <w:t>注：服务标准涉及的国家标准及北京市标准有更新的，执行最新标准。</w:t>
      </w:r>
    </w:p>
    <w:p>
      <w:pPr>
        <w:spacing w:line="360" w:lineRule="auto"/>
        <w:contextualSpacing/>
        <w:outlineLvl w:val="1"/>
        <w:rPr>
          <w:sz w:val="24"/>
          <w:highlight w:val="none"/>
        </w:rPr>
      </w:pPr>
      <w:r>
        <w:rPr>
          <w:sz w:val="24"/>
          <w:highlight w:val="none"/>
        </w:rPr>
        <w:t>2. 服务内容及要求</w:t>
      </w:r>
    </w:p>
    <w:p>
      <w:pPr>
        <w:snapToGrid w:val="0"/>
        <w:spacing w:line="360" w:lineRule="auto"/>
        <w:outlineLvl w:val="2"/>
        <w:rPr>
          <w:rFonts w:hint="eastAsia" w:ascii="宋体" w:hAnsi="宋体" w:cs="宋体"/>
          <w:sz w:val="24"/>
          <w:highlight w:val="none"/>
        </w:rPr>
      </w:pPr>
      <w:r>
        <w:rPr>
          <w:rFonts w:hint="eastAsia" w:ascii="宋体" w:hAnsi="宋体" w:cs="宋体"/>
          <w:sz w:val="24"/>
          <w:highlight w:val="none"/>
        </w:rPr>
        <w:t>2.1技术要求</w:t>
      </w:r>
    </w:p>
    <w:bookmarkEnd w:id="1"/>
    <w:p>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（1）政务云基础服务</w:t>
      </w:r>
    </w:p>
    <w:tbl>
      <w:tblPr>
        <w:tblStyle w:val="53"/>
        <w:tblW w:w="8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1"/>
        <w:gridCol w:w="3870"/>
        <w:gridCol w:w="1468"/>
        <w:gridCol w:w="992"/>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631" w:type="dxa"/>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bidi="ar"/>
              </w:rPr>
              <w:t>序号</w:t>
            </w:r>
          </w:p>
        </w:tc>
        <w:tc>
          <w:tcPr>
            <w:tcW w:w="3870" w:type="dxa"/>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云服务名称</w:t>
            </w:r>
          </w:p>
        </w:tc>
        <w:tc>
          <w:tcPr>
            <w:tcW w:w="1468" w:type="dxa"/>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bidi="ar"/>
              </w:rPr>
              <w:t>计价单位</w:t>
            </w:r>
          </w:p>
        </w:tc>
        <w:tc>
          <w:tcPr>
            <w:tcW w:w="992" w:type="dxa"/>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bidi="ar"/>
              </w:rPr>
              <w:t>采购数量</w:t>
            </w:r>
          </w:p>
        </w:tc>
        <w:tc>
          <w:tcPr>
            <w:tcW w:w="1541" w:type="dxa"/>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bidi="ar"/>
              </w:rPr>
              <w:t>服务时长（月）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w:t>
            </w:r>
          </w:p>
        </w:tc>
        <w:tc>
          <w:tcPr>
            <w:tcW w:w="3870"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vCPU(主频不低于2.4GHz）</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CPU</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524</w:t>
            </w:r>
          </w:p>
        </w:tc>
        <w:tc>
          <w:tcPr>
            <w:tcW w:w="154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2</w:t>
            </w:r>
          </w:p>
        </w:tc>
        <w:tc>
          <w:tcPr>
            <w:tcW w:w="3870"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内存</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GB</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1320</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3</w:t>
            </w:r>
          </w:p>
        </w:tc>
        <w:tc>
          <w:tcPr>
            <w:tcW w:w="3870"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普通性能存储</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GB</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4900</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4</w:t>
            </w:r>
          </w:p>
        </w:tc>
        <w:tc>
          <w:tcPr>
            <w:tcW w:w="3870"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高性能存储</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GB</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15900</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5</w:t>
            </w:r>
          </w:p>
        </w:tc>
        <w:tc>
          <w:tcPr>
            <w:tcW w:w="3870"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本地备份服务</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GB</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2400</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6</w:t>
            </w:r>
          </w:p>
        </w:tc>
        <w:tc>
          <w:tcPr>
            <w:tcW w:w="3870"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异地备份服务</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GB</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3400</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7</w:t>
            </w:r>
          </w:p>
        </w:tc>
        <w:tc>
          <w:tcPr>
            <w:tcW w:w="3870"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互联网链路带宽</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Mb</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100</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8</w:t>
            </w:r>
          </w:p>
        </w:tc>
        <w:tc>
          <w:tcPr>
            <w:tcW w:w="3870"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互联网IP地址租用服务并提供备案服务</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IP</w:t>
            </w:r>
          </w:p>
        </w:tc>
        <w:tc>
          <w:tcPr>
            <w:tcW w:w="992"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szCs w:val="21"/>
                <w:highlight w:val="none"/>
                <w:lang w:val="en-US" w:eastAsia="zh-CN"/>
              </w:rPr>
              <w:t>5</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9</w:t>
            </w:r>
          </w:p>
        </w:tc>
        <w:tc>
          <w:tcPr>
            <w:tcW w:w="3870"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主机负载均衡服务</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IP（内网）</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12</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10</w:t>
            </w:r>
          </w:p>
        </w:tc>
        <w:tc>
          <w:tcPr>
            <w:tcW w:w="3870"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远程接入服务</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账号</w:t>
            </w:r>
          </w:p>
        </w:tc>
        <w:tc>
          <w:tcPr>
            <w:tcW w:w="992"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szCs w:val="21"/>
                <w:highlight w:val="none"/>
                <w:lang w:val="en-US" w:eastAsia="zh-CN"/>
              </w:rPr>
              <w:t>5</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szCs w:val="21"/>
                <w:highlight w:val="none"/>
              </w:rPr>
              <w:t>1</w:t>
            </w:r>
            <w:r>
              <w:rPr>
                <w:rFonts w:hint="eastAsia" w:ascii="宋体" w:hAnsi="宋体" w:cs="宋体"/>
                <w:b/>
                <w:bCs/>
                <w:szCs w:val="21"/>
                <w:highlight w:val="none"/>
                <w:lang w:val="en-US" w:eastAsia="zh-CN"/>
              </w:rPr>
              <w:t>1</w:t>
            </w:r>
          </w:p>
        </w:tc>
        <w:tc>
          <w:tcPr>
            <w:tcW w:w="387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rPr>
              <w:t>SSL VPN 接入</w:t>
            </w:r>
          </w:p>
        </w:tc>
        <w:tc>
          <w:tcPr>
            <w:tcW w:w="146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rPr>
              <w:t>套</w:t>
            </w:r>
          </w:p>
        </w:tc>
        <w:tc>
          <w:tcPr>
            <w:tcW w:w="992"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11</w:t>
            </w:r>
          </w:p>
        </w:tc>
        <w:tc>
          <w:tcPr>
            <w:tcW w:w="1541" w:type="dxa"/>
            <w:shd w:val="clear" w:color="auto" w:fill="auto"/>
            <w:tcMar>
              <w:top w:w="15" w:type="dxa"/>
              <w:left w:w="15" w:type="dxa"/>
              <w:right w:w="15" w:type="dxa"/>
            </w:tcMar>
            <w:vAlign w:val="top"/>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szCs w:val="21"/>
                <w:highlight w:val="none"/>
              </w:rPr>
              <w:t>1</w:t>
            </w:r>
            <w:r>
              <w:rPr>
                <w:rFonts w:hint="eastAsia" w:ascii="宋体" w:hAnsi="宋体" w:cs="宋体"/>
                <w:b/>
                <w:bCs/>
                <w:szCs w:val="21"/>
                <w:highlight w:val="none"/>
                <w:lang w:val="en-US" w:eastAsia="zh-CN"/>
              </w:rPr>
              <w:t>2</w:t>
            </w:r>
          </w:p>
        </w:tc>
        <w:tc>
          <w:tcPr>
            <w:tcW w:w="3870"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WAF防护</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IP（互联网）</w:t>
            </w:r>
          </w:p>
        </w:tc>
        <w:tc>
          <w:tcPr>
            <w:tcW w:w="992"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szCs w:val="21"/>
                <w:highlight w:val="none"/>
                <w:lang w:val="en-US" w:eastAsia="zh-CN"/>
              </w:rPr>
              <w:t>3</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bl>
    <w:p>
      <w:pPr>
        <w:snapToGrid w:val="0"/>
        <w:spacing w:line="360" w:lineRule="auto"/>
        <w:ind w:firstLine="480" w:firstLineChars="200"/>
        <w:rPr>
          <w:rFonts w:hint="eastAsia" w:ascii="宋体" w:hAnsi="宋体" w:eastAsia="宋体" w:cs="宋体"/>
          <w:color w:val="auto"/>
          <w:sz w:val="24"/>
          <w:highlight w:val="none"/>
          <w:lang w:val="en-US" w:eastAsia="zh-CN"/>
        </w:rPr>
      </w:pPr>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（2）政务云扩展服务</w:t>
      </w:r>
    </w:p>
    <w:tbl>
      <w:tblPr>
        <w:tblStyle w:val="53"/>
        <w:tblW w:w="85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1"/>
        <w:gridCol w:w="3870"/>
        <w:gridCol w:w="1468"/>
        <w:gridCol w:w="992"/>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631" w:type="dxa"/>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bidi="ar"/>
              </w:rPr>
              <w:t>序号</w:t>
            </w:r>
          </w:p>
        </w:tc>
        <w:tc>
          <w:tcPr>
            <w:tcW w:w="3870" w:type="dxa"/>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云</w:t>
            </w:r>
            <w:r>
              <w:rPr>
                <w:rFonts w:hint="eastAsia" w:ascii="仿宋_GB2312" w:hAnsi="仿宋_GB2312" w:eastAsia="仿宋_GB2312" w:cs="仿宋_GB2312"/>
                <w:b/>
                <w:color w:val="000000"/>
                <w:highlight w:val="none"/>
                <w:lang w:val="en-US" w:eastAsia="zh-CN"/>
              </w:rPr>
              <w:t>扩展</w:t>
            </w:r>
            <w:r>
              <w:rPr>
                <w:rFonts w:hint="eastAsia" w:ascii="仿宋_GB2312" w:hAnsi="仿宋_GB2312" w:eastAsia="仿宋_GB2312" w:cs="仿宋_GB2312"/>
                <w:b/>
                <w:color w:val="000000"/>
                <w:highlight w:val="none"/>
              </w:rPr>
              <w:t>服务名称</w:t>
            </w:r>
          </w:p>
        </w:tc>
        <w:tc>
          <w:tcPr>
            <w:tcW w:w="1468" w:type="dxa"/>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bidi="ar"/>
              </w:rPr>
              <w:t>计价单位</w:t>
            </w:r>
          </w:p>
        </w:tc>
        <w:tc>
          <w:tcPr>
            <w:tcW w:w="992" w:type="dxa"/>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bidi="ar"/>
              </w:rPr>
              <w:t>采购数量</w:t>
            </w:r>
          </w:p>
        </w:tc>
        <w:tc>
          <w:tcPr>
            <w:tcW w:w="1541" w:type="dxa"/>
            <w:tcMar>
              <w:top w:w="15" w:type="dxa"/>
              <w:left w:w="15" w:type="dxa"/>
              <w:right w:w="15" w:type="dxa"/>
            </w:tcMar>
            <w:vAlign w:val="center"/>
          </w:tcPr>
          <w:p>
            <w:pPr>
              <w:widowControl/>
              <w:jc w:val="center"/>
              <w:textAlignment w:val="center"/>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lang w:bidi="ar"/>
              </w:rPr>
              <w:t>服务时长（月）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w:t>
            </w:r>
          </w:p>
        </w:tc>
        <w:tc>
          <w:tcPr>
            <w:tcW w:w="3870"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商用操作系统套餐</w:t>
            </w:r>
          </w:p>
        </w:tc>
        <w:tc>
          <w:tcPr>
            <w:tcW w:w="1468"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szCs w:val="21"/>
                <w:highlight w:val="none"/>
                <w:lang w:val="en-US" w:eastAsia="zh-CN"/>
              </w:rPr>
              <w:t>套</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50</w:t>
            </w:r>
          </w:p>
        </w:tc>
        <w:tc>
          <w:tcPr>
            <w:tcW w:w="154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2</w:t>
            </w:r>
          </w:p>
        </w:tc>
        <w:tc>
          <w:tcPr>
            <w:tcW w:w="3870"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rPr>
            </w:pPr>
            <w:r>
              <w:rPr>
                <w:rFonts w:hint="eastAsia" w:ascii="宋体" w:hAnsi="宋体" w:eastAsia="宋体" w:cs="宋体"/>
                <w:b/>
                <w:bCs/>
                <w:szCs w:val="21"/>
                <w:highlight w:val="none"/>
              </w:rPr>
              <w:t>国产商用应用中间件套餐</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lang w:val="en-US" w:eastAsia="zh-CN"/>
              </w:rPr>
              <w:t>套</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18</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3</w:t>
            </w:r>
          </w:p>
        </w:tc>
        <w:tc>
          <w:tcPr>
            <w:tcW w:w="3870"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rPr>
            </w:pPr>
            <w:r>
              <w:rPr>
                <w:rFonts w:hint="eastAsia" w:ascii="宋体" w:hAnsi="宋体" w:eastAsia="宋体" w:cs="宋体"/>
                <w:b/>
                <w:bCs/>
                <w:szCs w:val="21"/>
                <w:highlight w:val="none"/>
              </w:rPr>
              <w:t>商用数据库套餐</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lang w:val="en-US" w:eastAsia="zh-CN"/>
              </w:rPr>
              <w:t>套</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10</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4</w:t>
            </w:r>
          </w:p>
        </w:tc>
        <w:tc>
          <w:tcPr>
            <w:tcW w:w="3870"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rPr>
            </w:pPr>
            <w:r>
              <w:rPr>
                <w:rFonts w:hint="eastAsia" w:ascii="宋体" w:hAnsi="宋体" w:eastAsia="宋体" w:cs="宋体"/>
                <w:b/>
                <w:bCs/>
                <w:szCs w:val="21"/>
                <w:highlight w:val="none"/>
              </w:rPr>
              <w:t>云端抗DDOS服务</w:t>
            </w:r>
          </w:p>
        </w:tc>
        <w:tc>
          <w:tcPr>
            <w:tcW w:w="1468"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szCs w:val="21"/>
                <w:highlight w:val="none"/>
                <w:lang w:val="en-US" w:eastAsia="zh-CN"/>
              </w:rPr>
              <w:t>套</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5</w:t>
            </w:r>
          </w:p>
        </w:tc>
        <w:tc>
          <w:tcPr>
            <w:tcW w:w="3870"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rPr>
            </w:pPr>
            <w:r>
              <w:rPr>
                <w:rFonts w:hint="eastAsia" w:ascii="宋体" w:hAnsi="宋体" w:eastAsia="宋体" w:cs="宋体"/>
                <w:b/>
                <w:bCs/>
                <w:szCs w:val="21"/>
                <w:highlight w:val="none"/>
              </w:rPr>
              <w:t>云端APT防护服务</w:t>
            </w:r>
          </w:p>
        </w:tc>
        <w:tc>
          <w:tcPr>
            <w:tcW w:w="1468"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lang w:val="en-US" w:eastAsia="zh-CN"/>
              </w:rPr>
              <w:t>套</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6</w:t>
            </w:r>
          </w:p>
        </w:tc>
        <w:tc>
          <w:tcPr>
            <w:tcW w:w="3870"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rPr>
            </w:pPr>
            <w:r>
              <w:rPr>
                <w:rFonts w:hint="eastAsia" w:ascii="宋体" w:hAnsi="宋体" w:eastAsia="宋体" w:cs="宋体"/>
                <w:b/>
                <w:bCs/>
                <w:szCs w:val="21"/>
                <w:highlight w:val="none"/>
              </w:rPr>
              <w:t>主机杀毒服务</w:t>
            </w:r>
          </w:p>
        </w:tc>
        <w:tc>
          <w:tcPr>
            <w:tcW w:w="1468"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szCs w:val="21"/>
                <w:highlight w:val="none"/>
                <w:lang w:val="en-US" w:eastAsia="zh-CN"/>
              </w:rPr>
              <w:t>台</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50</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7</w:t>
            </w:r>
          </w:p>
        </w:tc>
        <w:tc>
          <w:tcPr>
            <w:tcW w:w="3870"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rPr>
            </w:pPr>
            <w:r>
              <w:rPr>
                <w:rFonts w:hint="eastAsia" w:ascii="宋体" w:hAnsi="宋体" w:eastAsia="宋体" w:cs="宋体"/>
                <w:b/>
                <w:bCs/>
                <w:szCs w:val="21"/>
                <w:highlight w:val="none"/>
              </w:rPr>
              <w:t>主机防护</w:t>
            </w:r>
          </w:p>
        </w:tc>
        <w:tc>
          <w:tcPr>
            <w:tcW w:w="1468" w:type="dxa"/>
            <w:tcMar>
              <w:top w:w="15" w:type="dxa"/>
              <w:left w:w="15" w:type="dxa"/>
              <w:right w:w="15" w:type="dxa"/>
            </w:tcMar>
            <w:vAlign w:val="center"/>
          </w:tcPr>
          <w:p>
            <w:pPr>
              <w:widowControl/>
              <w:jc w:val="center"/>
              <w:textAlignment w:val="center"/>
              <w:rPr>
                <w:rFonts w:hint="eastAsia" w:ascii="宋体" w:hAnsi="宋体" w:eastAsia="宋体" w:cs="宋体"/>
                <w:b/>
                <w:bCs/>
                <w:szCs w:val="21"/>
                <w:highlight w:val="none"/>
                <w:lang w:eastAsia="zh-CN"/>
              </w:rPr>
            </w:pPr>
            <w:r>
              <w:rPr>
                <w:rFonts w:hint="eastAsia" w:ascii="宋体" w:hAnsi="宋体" w:cs="宋体"/>
                <w:b/>
                <w:bCs/>
                <w:szCs w:val="21"/>
                <w:highlight w:val="none"/>
                <w:lang w:val="en-US" w:eastAsia="zh-CN"/>
              </w:rPr>
              <w:t>台</w:t>
            </w:r>
          </w:p>
        </w:tc>
        <w:tc>
          <w:tcPr>
            <w:tcW w:w="992"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50</w:t>
            </w:r>
          </w:p>
        </w:tc>
        <w:tc>
          <w:tcPr>
            <w:tcW w:w="1541" w:type="dxa"/>
            <w:tcMar>
              <w:top w:w="15" w:type="dxa"/>
              <w:left w:w="15" w:type="dxa"/>
              <w:right w:w="15" w:type="dxa"/>
            </w:tcMa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8</w:t>
            </w:r>
          </w:p>
        </w:tc>
        <w:tc>
          <w:tcPr>
            <w:tcW w:w="387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主机安全加固</w:t>
            </w:r>
          </w:p>
        </w:tc>
        <w:tc>
          <w:tcPr>
            <w:tcW w:w="146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台/次</w:t>
            </w:r>
          </w:p>
        </w:tc>
        <w:tc>
          <w:tcPr>
            <w:tcW w:w="992"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200</w:t>
            </w:r>
          </w:p>
        </w:tc>
        <w:tc>
          <w:tcPr>
            <w:tcW w:w="1541" w:type="dxa"/>
            <w:shd w:val="clear" w:color="auto" w:fill="auto"/>
            <w:tcMar>
              <w:top w:w="15" w:type="dxa"/>
              <w:left w:w="15" w:type="dxa"/>
              <w:right w:w="15" w:type="dxa"/>
            </w:tcMar>
            <w:vAlign w:val="top"/>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9</w:t>
            </w:r>
          </w:p>
        </w:tc>
        <w:tc>
          <w:tcPr>
            <w:tcW w:w="387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网页防篡改服务</w:t>
            </w:r>
          </w:p>
        </w:tc>
        <w:tc>
          <w:tcPr>
            <w:tcW w:w="1468"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站点</w:t>
            </w:r>
          </w:p>
        </w:tc>
        <w:tc>
          <w:tcPr>
            <w:tcW w:w="992"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1</w:t>
            </w:r>
          </w:p>
        </w:tc>
        <w:tc>
          <w:tcPr>
            <w:tcW w:w="1541" w:type="dxa"/>
            <w:shd w:val="clear" w:color="auto" w:fill="auto"/>
            <w:tcMar>
              <w:top w:w="15" w:type="dxa"/>
              <w:left w:w="15" w:type="dxa"/>
              <w:right w:w="15" w:type="dxa"/>
            </w:tcMar>
            <w:vAlign w:val="top"/>
          </w:tcPr>
          <w:p>
            <w:pPr>
              <w:widowControl/>
              <w:jc w:val="center"/>
              <w:textAlignment w:val="center"/>
              <w:rPr>
                <w:rFonts w:hint="default" w:ascii="宋体" w:hAnsi="宋体" w:eastAsia="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10</w:t>
            </w:r>
          </w:p>
        </w:tc>
        <w:tc>
          <w:tcPr>
            <w:tcW w:w="387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主机漏洞扫描</w:t>
            </w:r>
          </w:p>
        </w:tc>
        <w:tc>
          <w:tcPr>
            <w:tcW w:w="146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台/次</w:t>
            </w:r>
          </w:p>
        </w:tc>
        <w:tc>
          <w:tcPr>
            <w:tcW w:w="992"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200</w:t>
            </w:r>
          </w:p>
        </w:tc>
        <w:tc>
          <w:tcPr>
            <w:tcW w:w="1541" w:type="dxa"/>
            <w:shd w:val="clear" w:color="auto" w:fill="auto"/>
            <w:tcMar>
              <w:top w:w="15" w:type="dxa"/>
              <w:left w:w="15" w:type="dxa"/>
              <w:right w:w="15" w:type="dxa"/>
            </w:tcMar>
            <w:vAlign w:val="top"/>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11</w:t>
            </w:r>
          </w:p>
        </w:tc>
        <w:tc>
          <w:tcPr>
            <w:tcW w:w="387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主机日志审计服务</w:t>
            </w:r>
          </w:p>
        </w:tc>
        <w:tc>
          <w:tcPr>
            <w:tcW w:w="1468"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台</w:t>
            </w:r>
          </w:p>
        </w:tc>
        <w:tc>
          <w:tcPr>
            <w:tcW w:w="992"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50</w:t>
            </w:r>
          </w:p>
        </w:tc>
        <w:tc>
          <w:tcPr>
            <w:tcW w:w="1541" w:type="dxa"/>
            <w:shd w:val="clear" w:color="auto" w:fill="auto"/>
            <w:tcMar>
              <w:top w:w="15" w:type="dxa"/>
              <w:left w:w="15" w:type="dxa"/>
              <w:right w:w="15" w:type="dxa"/>
            </w:tcMar>
            <w:vAlign w:val="top"/>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eastAsia" w:ascii="宋体" w:hAnsi="宋体" w:cs="宋体"/>
                <w:b/>
                <w:bCs/>
                <w:szCs w:val="21"/>
                <w:highlight w:val="none"/>
              </w:rPr>
            </w:pPr>
            <w:r>
              <w:rPr>
                <w:rFonts w:hint="eastAsia" w:ascii="宋体" w:hAnsi="宋体" w:cs="宋体"/>
                <w:b/>
                <w:bCs/>
                <w:szCs w:val="21"/>
                <w:highlight w:val="none"/>
              </w:rPr>
              <w:t>12</w:t>
            </w:r>
          </w:p>
        </w:tc>
        <w:tc>
          <w:tcPr>
            <w:tcW w:w="387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数据库审计服务</w:t>
            </w:r>
          </w:p>
        </w:tc>
        <w:tc>
          <w:tcPr>
            <w:tcW w:w="146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套</w:t>
            </w:r>
          </w:p>
        </w:tc>
        <w:tc>
          <w:tcPr>
            <w:tcW w:w="992"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6</w:t>
            </w:r>
          </w:p>
        </w:tc>
        <w:tc>
          <w:tcPr>
            <w:tcW w:w="1541" w:type="dxa"/>
            <w:shd w:val="clear" w:color="auto" w:fill="auto"/>
            <w:tcMar>
              <w:top w:w="15" w:type="dxa"/>
              <w:left w:w="15" w:type="dxa"/>
              <w:right w:w="15" w:type="dxa"/>
            </w:tcMar>
            <w:vAlign w:val="top"/>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cs="宋体"/>
                <w:b/>
                <w:bCs/>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0" w:hRule="atLeast"/>
        </w:trPr>
        <w:tc>
          <w:tcPr>
            <w:tcW w:w="631" w:type="dxa"/>
            <w:tcMar>
              <w:top w:w="15" w:type="dxa"/>
              <w:left w:w="15" w:type="dxa"/>
              <w:right w:w="15" w:type="dxa"/>
            </w:tcMar>
            <w:vAlign w:val="center"/>
          </w:tcPr>
          <w:p>
            <w:pPr>
              <w:widowControl/>
              <w:jc w:val="center"/>
              <w:textAlignment w:val="center"/>
              <w:rPr>
                <w:rFonts w:hint="default"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13</w:t>
            </w:r>
          </w:p>
        </w:tc>
        <w:tc>
          <w:tcPr>
            <w:tcW w:w="3870"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密码应用安全支撑服务</w:t>
            </w:r>
          </w:p>
        </w:tc>
        <w:tc>
          <w:tcPr>
            <w:tcW w:w="1468" w:type="dxa"/>
            <w:shd w:val="clear" w:color="auto" w:fill="auto"/>
            <w:tcMar>
              <w:top w:w="15" w:type="dxa"/>
              <w:left w:w="15" w:type="dxa"/>
              <w:right w:w="15" w:type="dxa"/>
            </w:tcMar>
            <w:vAlign w:val="center"/>
          </w:tcPr>
          <w:p>
            <w:pPr>
              <w:widowControl/>
              <w:jc w:val="center"/>
              <w:textAlignment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lang w:val="en-US" w:eastAsia="zh-CN"/>
              </w:rPr>
              <w:t>项</w:t>
            </w:r>
          </w:p>
        </w:tc>
        <w:tc>
          <w:tcPr>
            <w:tcW w:w="992" w:type="dxa"/>
            <w:shd w:val="clear" w:color="auto" w:fill="auto"/>
            <w:tcMar>
              <w:top w:w="15" w:type="dxa"/>
              <w:left w:w="15" w:type="dxa"/>
              <w:right w:w="15" w:type="dxa"/>
            </w:tcMar>
            <w:vAlign w:val="center"/>
          </w:tcPr>
          <w:p>
            <w:pPr>
              <w:widowControl/>
              <w:jc w:val="center"/>
              <w:textAlignment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highlight w:val="none"/>
                <w:lang w:val="en-US" w:eastAsia="zh-CN"/>
              </w:rPr>
              <w:t>1</w:t>
            </w:r>
          </w:p>
        </w:tc>
        <w:tc>
          <w:tcPr>
            <w:tcW w:w="1541" w:type="dxa"/>
            <w:shd w:val="clear" w:color="auto" w:fill="auto"/>
            <w:tcMar>
              <w:top w:w="15" w:type="dxa"/>
              <w:left w:w="15" w:type="dxa"/>
              <w:right w:w="15" w:type="dxa"/>
            </w:tcMar>
            <w:vAlign w:val="top"/>
          </w:tcPr>
          <w:p>
            <w:pPr>
              <w:widowControl/>
              <w:jc w:val="center"/>
              <w:textAlignment w:val="center"/>
              <w:rPr>
                <w:rFonts w:hint="default" w:ascii="宋体" w:hAnsi="宋体" w:eastAsia="宋体" w:cs="宋体"/>
                <w:b/>
                <w:bCs/>
                <w:kern w:val="2"/>
                <w:sz w:val="21"/>
                <w:szCs w:val="21"/>
                <w:highlight w:val="none"/>
                <w:lang w:val="en-US" w:eastAsia="zh-CN" w:bidi="ar-SA"/>
              </w:rPr>
            </w:pPr>
            <w:r>
              <w:rPr>
                <w:rFonts w:hint="eastAsia" w:ascii="宋体" w:hAnsi="宋体" w:cs="宋体"/>
                <w:b/>
                <w:bCs/>
                <w:szCs w:val="21"/>
                <w:highlight w:val="none"/>
              </w:rPr>
              <w:t>12</w:t>
            </w:r>
          </w:p>
        </w:tc>
      </w:tr>
    </w:tbl>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p>
    <w:p>
      <w:pPr>
        <w:snapToGrid w:val="0"/>
        <w:spacing w:line="360" w:lineRule="auto"/>
        <w:outlineLvl w:val="2"/>
        <w:rPr>
          <w:rFonts w:hint="eastAsia" w:ascii="宋体" w:hAnsi="宋体" w:cs="宋体"/>
          <w:sz w:val="24"/>
          <w:highlight w:val="none"/>
        </w:rPr>
      </w:pPr>
      <w:r>
        <w:rPr>
          <w:rFonts w:hint="eastAsia" w:ascii="宋体" w:hAnsi="宋体" w:cs="宋体"/>
          <w:sz w:val="24"/>
          <w:highlight w:val="none"/>
        </w:rPr>
        <w:t>2.2服务内容及标准</w:t>
      </w:r>
    </w:p>
    <w:p>
      <w:pPr>
        <w:pStyle w:val="6"/>
        <w:pageBreakBefore w:val="0"/>
        <w:widowControl w:val="0"/>
        <w:kinsoku/>
        <w:wordWrap/>
        <w:overflowPunct/>
        <w:topLinePunct w:val="0"/>
        <w:autoSpaceDE/>
        <w:autoSpaceDN/>
        <w:bidi w:val="0"/>
        <w:spacing w:before="0" w:after="0" w:line="360" w:lineRule="auto"/>
        <w:rPr>
          <w:rFonts w:hint="eastAsia" w:ascii="宋体" w:hAnsi="宋体" w:cs="宋体"/>
          <w:szCs w:val="24"/>
          <w:highlight w:val="none"/>
        </w:rPr>
      </w:pPr>
      <w:r>
        <w:rPr>
          <w:rFonts w:hint="eastAsia" w:ascii="宋体" w:hAnsi="宋体" w:cs="宋体"/>
          <w:szCs w:val="24"/>
          <w:highlight w:val="none"/>
        </w:rPr>
        <w:t>2.2.1云主机服务</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sz w:val="24"/>
          <w:highlight w:val="none"/>
        </w:rPr>
      </w:pPr>
      <w:r>
        <w:rPr>
          <w:rFonts w:hint="eastAsia" w:ascii="宋体" w:hAnsi="宋体" w:cs="宋体"/>
          <w:b w:val="0"/>
          <w:sz w:val="24"/>
          <w:highlight w:val="none"/>
        </w:rPr>
        <w:t>2.2.1.1服务内容</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按照采购人的具体需求，提供云主机服务，可按需求对CPU及内存进行动态调整，实现合理的计算资源配置。在提供政务云主机的服务过程中做好与采购人和对应项目应用开发厂商的协调沟通工作。</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szCs w:val="22"/>
          <w:highlight w:val="none"/>
        </w:rPr>
      </w:pPr>
      <w:r>
        <w:rPr>
          <w:rFonts w:hint="eastAsia" w:ascii="宋体" w:hAnsi="宋体" w:cs="宋体"/>
          <w:b w:val="0"/>
          <w:bCs/>
          <w:sz w:val="24"/>
          <w:szCs w:val="22"/>
          <w:highlight w:val="none"/>
        </w:rPr>
        <w:t>2.2.1.2服务标准</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（1）云主机应实现物理机的全部功能，如具有CPU、存储、内存、网卡等资源，可以指定单独的IP地址、MAC地址等；</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（2）支持存储裸设备映射（RDM），可以将存储设备上的LUN直接映射给虚拟机使用，并且支持SCSI指令使用透传模式或者非透传模式；</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（3）应满足云主机之间、CPU之间隔离保护要求；</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（4）支持资源的动态调整，根据业务的负载情况实现业务系统虚拟机的动态扩展和回收，支持手动和自动方式，自动方式可基于主机的CPU、内存、磁盘IO、网络流量等性能参数阈值进行动态调度；</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（5）支持在线进行虚拟化软件版本升级，不同版本之间可以相互兼容；</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（6）支持异构虚拟化能力，如KVM、PowerVM等多种虚拟化技术；</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（7）云主机出现故障时，支持自动重启或者迁移，保障业务连续性；</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（8）支持虚拟机热迁移，可在不同代CPU资源池中进行虚拟机热迁移；</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（9）云计算资源性能要求包括但不限于如下：</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物理服务器CPU主频应不低于2.4GHz；</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可用性不低于99.99%。</w:t>
      </w:r>
    </w:p>
    <w:p>
      <w:pPr>
        <w:pStyle w:val="6"/>
        <w:pageBreakBefore w:val="0"/>
        <w:widowControl w:val="0"/>
        <w:kinsoku/>
        <w:wordWrap/>
        <w:overflowPunct/>
        <w:topLinePunct w:val="0"/>
        <w:autoSpaceDE/>
        <w:autoSpaceDN/>
        <w:bidi w:val="0"/>
        <w:spacing w:before="0" w:after="0" w:line="360" w:lineRule="auto"/>
        <w:rPr>
          <w:rFonts w:hint="eastAsia" w:ascii="宋体" w:hAnsi="宋体" w:cs="宋体"/>
          <w:bCs/>
          <w:szCs w:val="24"/>
          <w:highlight w:val="none"/>
        </w:rPr>
      </w:pPr>
      <w:r>
        <w:rPr>
          <w:rFonts w:hint="eastAsia" w:ascii="宋体" w:hAnsi="宋体" w:cs="宋体"/>
          <w:bCs/>
          <w:szCs w:val="24"/>
          <w:highlight w:val="none"/>
        </w:rPr>
        <w:t>2.2.2存储服务</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szCs w:val="24"/>
          <w:highlight w:val="none"/>
        </w:rPr>
      </w:pPr>
      <w:r>
        <w:rPr>
          <w:rFonts w:hint="eastAsia" w:ascii="宋体" w:hAnsi="宋体" w:cs="宋体"/>
          <w:b w:val="0"/>
          <w:bCs/>
          <w:sz w:val="24"/>
          <w:szCs w:val="24"/>
          <w:highlight w:val="none"/>
        </w:rPr>
        <w:t>2.2.2.1服务内容</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存储服务，包括：普通性能存储、高性能存储、本地备份和异地备份服务服务，实现合理的存储资源配置。在提供政务云存储的服务过程中需做好采购人和对应项目应用开发厂商的协调沟通工作。</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szCs w:val="24"/>
          <w:highlight w:val="none"/>
        </w:rPr>
      </w:pPr>
      <w:r>
        <w:rPr>
          <w:rFonts w:hint="eastAsia" w:ascii="宋体" w:hAnsi="宋体" w:cs="宋体"/>
          <w:b w:val="0"/>
          <w:bCs/>
          <w:sz w:val="24"/>
          <w:szCs w:val="24"/>
          <w:highlight w:val="none"/>
        </w:rPr>
        <w:t>2.2.2.2服务标准</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（1）支持结构化数据、半结构化数据和非结构化数据等多种数据类型存储；</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（2）支持块存储、对象存储、文件存储等多种存储方法，满足数据备份、视频存储等不同应用场景使用要求；</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（3）支持存储资源扩展能力，例如：PB级扩展；</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（4）支持磁盘容错技术，如磁盘故障后节点的自动平衡和重构、硬盘故障检测和处理、集群节点出现单盘故障时不影响业务运行等；</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（5）存储资源性能要求包括但不限于如下：</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支持高可靠性，可靠性不低于99.9999%；</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对于块存储服务，支持普通性能、高性能两类，普通存储单盘技术指标：IOPS大于等于2000，高性能存储单盘技术指标：IOPS大于等于10000。</w:t>
      </w:r>
    </w:p>
    <w:p>
      <w:pPr>
        <w:pStyle w:val="6"/>
        <w:pageBreakBefore w:val="0"/>
        <w:widowControl w:val="0"/>
        <w:kinsoku/>
        <w:wordWrap/>
        <w:overflowPunct/>
        <w:topLinePunct w:val="0"/>
        <w:autoSpaceDE/>
        <w:autoSpaceDN/>
        <w:bidi w:val="0"/>
        <w:spacing w:before="0" w:after="0" w:line="360" w:lineRule="auto"/>
        <w:rPr>
          <w:rFonts w:hint="eastAsia" w:ascii="宋体" w:hAnsi="宋体" w:cs="宋体"/>
          <w:bCs/>
          <w:highlight w:val="none"/>
        </w:rPr>
      </w:pPr>
      <w:r>
        <w:rPr>
          <w:rFonts w:hint="eastAsia" w:ascii="宋体" w:hAnsi="宋体" w:cs="宋体"/>
          <w:bCs/>
          <w:highlight w:val="none"/>
        </w:rPr>
        <w:t>2.2.3网络服务</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highlight w:val="none"/>
        </w:rPr>
      </w:pPr>
      <w:r>
        <w:rPr>
          <w:rFonts w:hint="eastAsia" w:ascii="宋体" w:hAnsi="宋体" w:cs="宋体"/>
          <w:b w:val="0"/>
          <w:bCs/>
          <w:sz w:val="24"/>
          <w:highlight w:val="none"/>
        </w:rPr>
        <w:t>2.2.3.1服务内容</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（1）提供互联网链路带宽服务、互联网IP地址租用服务，并提供相应的网络域名备案服务，配合应用开发厂商提供网络策略配置服务。</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（2）主机负载均衡服务，通过云管理平台实现针每租户按需自动分配负载均衡服务的能力。</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（3）远程接入服务，提供互联网远程接入服务，每个账号结合身份验证接入堡垒机维护应用系统。</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（4）VPN服务，含SSL VPN接入、IPSec VPN接入等服务。</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highlight w:val="none"/>
        </w:rPr>
      </w:pPr>
      <w:r>
        <w:rPr>
          <w:rFonts w:hint="eastAsia" w:ascii="宋体" w:hAnsi="宋体" w:cs="宋体"/>
          <w:b w:val="0"/>
          <w:bCs/>
          <w:sz w:val="24"/>
          <w:highlight w:val="none"/>
        </w:rPr>
        <w:t>2.2.3.2服务标准</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网络系统提供稳定的数据传输能力，一般要求如下：</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（1）具备多运营商网络接入服务的能力；</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（2）数据中心组网架构设计可采用大二层网络架构，支持云主机无障碍动态迁移；</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（3）应采用集群部署网络控制，以保障升级时业务不中断；</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（4）应实现自动化动态网络资源调配和隔离，支持与互联网、电子政务外网及行业部门专网的连接；</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（5）支持IPv6地址分配，满足业务系统IPv6要求；</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（6）具备边界防火墙和VPC防火墙隔离能力，分别针对不同的流量进行安全策略防护与配置；</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（7）具备高可用虚拟IP能力，在集群或主备场景下，云主机可绑定高可用虚拟IP，达到高可用访问效果；</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（8）采用双活网络架构，降低单点故障带来的稳定风险；为入云系统划分安全区域，合理制定访问规则。</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（9）网络系统性能要求包括但不限于如下：</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服务器业务带宽不低于10Gb/s；</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平均可用性不低于99.99%。</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（11）SSL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采用通过商用密码产品认证的SSL VPN产品。</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（12）投标人应强化远程运维管理，因业务确需通过互联网远程运维的，应当采取安全管控措施，向采购提供安全管控方案。重要保障时期避免通过互联网远程运维。</w:t>
      </w:r>
    </w:p>
    <w:p>
      <w:pPr>
        <w:pStyle w:val="6"/>
        <w:pageBreakBefore w:val="0"/>
        <w:widowControl w:val="0"/>
        <w:kinsoku/>
        <w:wordWrap/>
        <w:overflowPunct/>
        <w:topLinePunct w:val="0"/>
        <w:autoSpaceDE/>
        <w:autoSpaceDN/>
        <w:bidi w:val="0"/>
        <w:spacing w:before="0" w:after="0" w:line="360" w:lineRule="auto"/>
        <w:rPr>
          <w:rFonts w:hint="eastAsia" w:ascii="宋体" w:hAnsi="宋体" w:cs="宋体"/>
          <w:bCs/>
          <w:highlight w:val="none"/>
        </w:rPr>
      </w:pPr>
      <w:r>
        <w:rPr>
          <w:rFonts w:hint="eastAsia" w:ascii="宋体" w:hAnsi="宋体" w:cs="宋体"/>
          <w:bCs/>
          <w:highlight w:val="none"/>
        </w:rPr>
        <w:t>2.2.4备份服务</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highlight w:val="none"/>
        </w:rPr>
      </w:pPr>
      <w:r>
        <w:rPr>
          <w:rFonts w:hint="eastAsia" w:ascii="宋体" w:hAnsi="宋体" w:cs="宋体"/>
          <w:b w:val="0"/>
          <w:bCs/>
          <w:sz w:val="24"/>
          <w:highlight w:val="none"/>
        </w:rPr>
        <w:t>2.2.4.1服务内容</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投标人需具有本地和同城异地数据级备份能力，并配合采购人完成数据级容灾演练及恢复等工作。</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szCs w:val="22"/>
          <w:highlight w:val="none"/>
        </w:rPr>
      </w:pPr>
      <w:r>
        <w:rPr>
          <w:rFonts w:hint="eastAsia" w:ascii="宋体" w:hAnsi="宋体" w:cs="宋体"/>
          <w:b w:val="0"/>
          <w:bCs/>
          <w:sz w:val="24"/>
          <w:szCs w:val="22"/>
          <w:highlight w:val="none"/>
        </w:rPr>
        <w:t>2.2.4.2服务标准</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各个应用系统对资源的备份需求通过备份策略实现对用户数据（文件、操作系统、数据库）的本地备份/异地备份（不包含备份存储空间费用），默认提供非结构化数据保护与文件备份保护。备份应满足如下要求:</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（1）备份介质本身具备高可用性和冗余性。</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（2）备份方式包括完整备份、差异备份和增量备份。</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（3）支持Windows系列操作系统、Linux主流系统操作系统、主流数据库软件、主流中间件软件、结构化数据以及非结构化数据等备份对象。</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（4）支持建立统一的备份管理系统，用来管理本地备份和异地备份。</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（5）投标人应提供对备份过程状态、备份结果提供运维监控保障服务，确保备份任务执行成功以及备份的数据完整性。</w:t>
      </w:r>
    </w:p>
    <w:p>
      <w:pPr>
        <w:pStyle w:val="6"/>
        <w:pageBreakBefore w:val="0"/>
        <w:widowControl w:val="0"/>
        <w:kinsoku/>
        <w:wordWrap/>
        <w:overflowPunct/>
        <w:topLinePunct w:val="0"/>
        <w:autoSpaceDE/>
        <w:autoSpaceDN/>
        <w:bidi w:val="0"/>
        <w:spacing w:before="0" w:after="0" w:line="360" w:lineRule="auto"/>
        <w:rPr>
          <w:rFonts w:hint="eastAsia" w:ascii="宋体" w:hAnsi="宋体" w:cs="宋体"/>
          <w:bCs/>
          <w:highlight w:val="none"/>
        </w:rPr>
      </w:pPr>
      <w:r>
        <w:rPr>
          <w:rFonts w:hint="eastAsia" w:ascii="宋体" w:hAnsi="宋体" w:cs="宋体"/>
          <w:bCs/>
          <w:highlight w:val="none"/>
        </w:rPr>
        <w:t>2.2.5资源调度服务</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highlight w:val="none"/>
        </w:rPr>
      </w:pPr>
      <w:r>
        <w:rPr>
          <w:rFonts w:hint="eastAsia" w:ascii="宋体" w:hAnsi="宋体" w:cs="宋体"/>
          <w:b w:val="0"/>
          <w:bCs/>
          <w:sz w:val="24"/>
          <w:highlight w:val="none"/>
        </w:rPr>
        <w:t>2.2.5.1服务内容</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（1）提供以云主机为核心的容器管理服务，为云主机提供高效部署、资源调度等一系列完整功能：</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具备资源管理能力；</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具备多集群管理能力；</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具备多租户管理能力；</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具备运维系统、监控系统等基本功能；</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具备自动清理闲置容器镜像能力，并可自定义最大保留时长；</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通过升级检查后，支持自动化低版本容器管理平台向高版本升级，通过升级检查后，可进行全自动化。</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（2）弹性伸缩</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提供以云主机为核心的动态伸缩功能；</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提供资源分配与调度功能，包括统计资源利用率，并能够按照策略动态分配资源；</w:t>
      </w:r>
    </w:p>
    <w:p>
      <w:pPr>
        <w:pageBreakBefore w:val="0"/>
        <w:widowControl w:val="0"/>
        <w:numPr>
          <w:ilvl w:val="0"/>
          <w:numId w:val="9"/>
        </w:numPr>
        <w:kinsoku/>
        <w:wordWrap/>
        <w:overflowPunct/>
        <w:topLinePunct w:val="0"/>
        <w:autoSpaceDE/>
        <w:autoSpaceDN/>
        <w:bidi w:val="0"/>
        <w:snapToGrid w:val="0"/>
        <w:spacing w:line="360" w:lineRule="auto"/>
        <w:rPr>
          <w:rFonts w:hint="eastAsia" w:ascii="宋体" w:hAnsi="宋体" w:cs="宋体"/>
          <w:bCs/>
          <w:sz w:val="24"/>
          <w:highlight w:val="none"/>
        </w:rPr>
      </w:pPr>
      <w:r>
        <w:rPr>
          <w:rFonts w:hint="eastAsia" w:ascii="宋体" w:hAnsi="宋体" w:cs="宋体"/>
          <w:bCs/>
          <w:sz w:val="24"/>
          <w:highlight w:val="none"/>
        </w:rPr>
        <w:t>提供动态迁移功能，包括伸缩迁移、故障迁移等功能；</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szCs w:val="22"/>
          <w:highlight w:val="none"/>
        </w:rPr>
      </w:pPr>
      <w:r>
        <w:rPr>
          <w:rFonts w:hint="eastAsia" w:ascii="宋体" w:hAnsi="宋体" w:cs="宋体"/>
          <w:b w:val="0"/>
          <w:bCs/>
          <w:sz w:val="24"/>
          <w:szCs w:val="22"/>
          <w:highlight w:val="none"/>
        </w:rPr>
        <w:t>2.2.5.2服务标准</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按照采购人的具体需求，提供资源调度服务，投标人应具备以下能力：</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（1）投标人应对自身云资源池容量进行管理，对资源总量（计算、存储、带宽）及已分配资源、未分配资源进行监控，当平台某资源的已分配量超过该资源总量80%时，须承诺实现7个自然日快速扩容。</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（2）投标人需要保障基础设施资源可扩展性，满足所有用户需求，能够在多租户网络流量条件下，对用户网络流量进行识别并进行精细化管理。</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（3）投标人应具备资源动态调整机制，根据业务系统运行情况进行资源的动态调整，并承诺短期内提供云资源扩展服务（不超过原有资源的20%）。</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（4）投标人应按内存不复用方式分配云资源。</w:t>
      </w:r>
    </w:p>
    <w:p>
      <w:pPr>
        <w:pStyle w:val="6"/>
        <w:pageBreakBefore w:val="0"/>
        <w:widowControl w:val="0"/>
        <w:kinsoku/>
        <w:wordWrap/>
        <w:overflowPunct/>
        <w:topLinePunct w:val="0"/>
        <w:autoSpaceDE/>
        <w:autoSpaceDN/>
        <w:bidi w:val="0"/>
        <w:spacing w:before="0" w:after="0" w:line="360" w:lineRule="auto"/>
        <w:rPr>
          <w:rFonts w:hint="eastAsia" w:ascii="宋体" w:hAnsi="宋体" w:cs="宋体"/>
          <w:bCs/>
          <w:highlight w:val="none"/>
        </w:rPr>
      </w:pPr>
      <w:r>
        <w:rPr>
          <w:rFonts w:hint="eastAsia" w:ascii="宋体" w:hAnsi="宋体" w:cs="宋体"/>
          <w:bCs/>
          <w:highlight w:val="none"/>
        </w:rPr>
        <w:t>2.2.6运维服务</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highlight w:val="none"/>
        </w:rPr>
      </w:pPr>
      <w:r>
        <w:rPr>
          <w:rFonts w:hint="eastAsia" w:ascii="宋体" w:hAnsi="宋体" w:cs="宋体"/>
          <w:b w:val="0"/>
          <w:bCs/>
          <w:sz w:val="24"/>
          <w:highlight w:val="none"/>
        </w:rPr>
        <w:t>2.2.6.1服务内容</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（1）负责云平台硬件资产、虚拟化资产的管理工作；</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（2）信息系统入云、上线、变更、退出等各阶段的备案与信息变更等工作；</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（3）执行云平台变更申请、审批流程；</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（4）云平台网络资源管理，针对内部地址使用情况、云平台专线接入情况、政务外网资源使用情况等做好统计工作；</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服务期内，投标人须配备运维团队，提供特定云主机深度监控及运维保障服务。投标人针对采购人要求的云平台运维服务相关内容，需指定专业技术能力较强的工程师，根据采购人要求配合开展相关维护服务。</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szCs w:val="22"/>
          <w:highlight w:val="none"/>
        </w:rPr>
      </w:pPr>
      <w:r>
        <w:rPr>
          <w:rFonts w:hint="eastAsia" w:ascii="宋体" w:hAnsi="宋体" w:cs="宋体"/>
          <w:b w:val="0"/>
          <w:bCs/>
          <w:sz w:val="24"/>
          <w:szCs w:val="22"/>
          <w:highlight w:val="none"/>
        </w:rPr>
        <w:t>2.2.8.2服务标准</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依据《北京市市级政务云管理办法》，投标人应当提供高效的系统维护服务，有效防范系统风险，进行7*24小时深度监测云主机资源、硬件设备监控和云平台层应急处置等。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4个小时之内使系统恢复正常，故障处理完毕后提供相关系统宕机报告。</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（2）为保障业务高峰期内系统平稳运行，缓解系统高峰期内因业务发生量增大而带来系统压力风险，要求投标人根据业务周期性特点，加大运维保障力度，保证在业务高峰期内系统平稳运行。</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w:t>
      </w:r>
      <w:r>
        <w:rPr>
          <w:rFonts w:hint="eastAsia" w:ascii="宋体" w:hAnsi="宋体" w:cs="宋体"/>
          <w:bCs/>
          <w:sz w:val="24"/>
          <w:highlight w:val="none"/>
          <w:lang w:val="en-US" w:eastAsia="zh-CN"/>
        </w:rPr>
        <w:t>制定重点时期保障方案，确保</w:t>
      </w:r>
      <w:r>
        <w:rPr>
          <w:rFonts w:hint="eastAsia" w:ascii="宋体" w:hAnsi="宋体" w:cs="宋体"/>
          <w:bCs/>
          <w:sz w:val="24"/>
          <w:highlight w:val="none"/>
        </w:rPr>
        <w:t>重要信息系统云主机资源调整时间不超过4小时，针对重点保障时期的重要信息系统重要云主机，投标人应按采购人要求进行实时监控，超过预警阈值时主动上调云资源，并第一时间通知采购人进行相应操作，确保系统平稳运行。</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（4）按照国家、北京市相关规定和信息安全技术标准及规范要求, 落实安全保障措施, 通过信息安全测评机构的测评和政务云安全审查 。</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（7）投标人应保障政务云规范运行。入云系统应开展网络安全测评及备案。应对数据进行分类分级管理，根据数据分级保护要求采取相应级别的安全防护措施；应按相关要求对重要数据进行异地备份。</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（8）除不可抗力或计划内维护作业造成的政务云服务中断外,政务云实行24小时不间断运行。</w:t>
      </w:r>
    </w:p>
    <w:p>
      <w:pPr>
        <w:pStyle w:val="6"/>
        <w:pageBreakBefore w:val="0"/>
        <w:widowControl w:val="0"/>
        <w:kinsoku/>
        <w:wordWrap/>
        <w:overflowPunct/>
        <w:topLinePunct w:val="0"/>
        <w:autoSpaceDE/>
        <w:autoSpaceDN/>
        <w:bidi w:val="0"/>
        <w:spacing w:before="0" w:after="0" w:line="360" w:lineRule="auto"/>
        <w:rPr>
          <w:rFonts w:hint="eastAsia" w:ascii="宋体" w:hAnsi="宋体" w:eastAsia="宋体" w:cs="宋体"/>
          <w:bCs/>
          <w:highlight w:val="none"/>
        </w:rPr>
      </w:pPr>
      <w:r>
        <w:rPr>
          <w:rFonts w:hint="eastAsia" w:ascii="宋体" w:hAnsi="宋体" w:eastAsia="宋体" w:cs="宋体"/>
          <w:bCs/>
          <w:highlight w:val="none"/>
          <w:lang w:val="en-US" w:eastAsia="zh-CN"/>
        </w:rPr>
        <w:t>2.2.7</w:t>
      </w:r>
      <w:r>
        <w:rPr>
          <w:rFonts w:hint="eastAsia" w:ascii="宋体" w:hAnsi="宋体" w:eastAsia="宋体" w:cs="宋体"/>
          <w:bCs/>
          <w:highlight w:val="none"/>
        </w:rPr>
        <w:t>基础软件支撑服务</w:t>
      </w:r>
    </w:p>
    <w:p>
      <w:pPr>
        <w:pStyle w:val="7"/>
        <w:pageBreakBefore w:val="0"/>
        <w:widowControl w:val="0"/>
        <w:kinsoku/>
        <w:wordWrap/>
        <w:overflowPunct/>
        <w:topLinePunct w:val="0"/>
        <w:autoSpaceDE/>
        <w:autoSpaceDN/>
        <w:bidi w:val="0"/>
        <w:spacing w:before="0" w:after="0" w:line="360" w:lineRule="auto"/>
        <w:rPr>
          <w:rFonts w:hint="eastAsia" w:ascii="宋体" w:hAnsi="宋体" w:eastAsia="宋体" w:cs="宋体"/>
          <w:b w:val="0"/>
          <w:bCs/>
          <w:sz w:val="24"/>
          <w:szCs w:val="22"/>
          <w:highlight w:val="none"/>
        </w:rPr>
      </w:pPr>
      <w:r>
        <w:rPr>
          <w:rFonts w:hint="eastAsia" w:ascii="宋体" w:hAnsi="宋体" w:eastAsia="宋体" w:cs="宋体"/>
          <w:b w:val="0"/>
          <w:bCs/>
          <w:sz w:val="24"/>
          <w:szCs w:val="22"/>
          <w:highlight w:val="none"/>
          <w:lang w:val="en-US" w:eastAsia="zh-CN"/>
        </w:rPr>
        <w:t>2.2.7</w:t>
      </w:r>
      <w:r>
        <w:rPr>
          <w:rFonts w:hint="eastAsia" w:ascii="宋体" w:hAnsi="宋体" w:eastAsia="宋体" w:cs="宋体"/>
          <w:b w:val="0"/>
          <w:bCs/>
          <w:sz w:val="24"/>
          <w:szCs w:val="22"/>
          <w:highlight w:val="none"/>
        </w:rPr>
        <w:t>.1服务内容</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按照采购人的有关管理规定及具体需求，提供国产商用操作系统、国产商用应用中间件、国产商用数据库、等软件支撑服务。</w:t>
      </w:r>
    </w:p>
    <w:p>
      <w:pPr>
        <w:pStyle w:val="7"/>
        <w:pageBreakBefore w:val="0"/>
        <w:widowControl w:val="0"/>
        <w:kinsoku/>
        <w:wordWrap/>
        <w:overflowPunct/>
        <w:topLinePunct w:val="0"/>
        <w:autoSpaceDE/>
        <w:autoSpaceDN/>
        <w:bidi w:val="0"/>
        <w:spacing w:before="0" w:after="0" w:line="360" w:lineRule="auto"/>
        <w:rPr>
          <w:rFonts w:hint="eastAsia" w:ascii="宋体" w:hAnsi="宋体" w:eastAsia="宋体" w:cs="宋体"/>
          <w:b w:val="0"/>
          <w:bCs/>
          <w:sz w:val="24"/>
          <w:szCs w:val="22"/>
          <w:highlight w:val="none"/>
          <w:lang w:val="en-US" w:eastAsia="zh-CN"/>
        </w:rPr>
      </w:pPr>
      <w:r>
        <w:rPr>
          <w:rFonts w:hint="eastAsia" w:ascii="宋体" w:hAnsi="宋体" w:eastAsia="宋体" w:cs="宋体"/>
          <w:b w:val="0"/>
          <w:bCs/>
          <w:sz w:val="24"/>
          <w:szCs w:val="22"/>
          <w:highlight w:val="none"/>
          <w:lang w:val="en-US" w:eastAsia="zh-CN"/>
        </w:rPr>
        <w:t>2.2.7.2服务标准</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国产商用操作系统套餐</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提供主流商业操作系统服务，支持国产Linux操作系统（银河麒麟/中标麒麟/统信等）的各种主流版本，并提供操作系统的安装部署和各种故障处理。</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国产商用应用中间件套餐</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提供主流国产商用中间件服务，支持金蝶、东方通、普元等3种以上国产中间件的主流版本，并提供中间件的安装部署以及各种故障处理和日常维护。</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国产商用数据库套餐</w:t>
      </w:r>
    </w:p>
    <w:p>
      <w:pPr>
        <w:snapToGrid w:val="0"/>
        <w:spacing w:line="360" w:lineRule="auto"/>
        <w:ind w:firstLine="480" w:firstLineChars="200"/>
        <w:rPr>
          <w:rFonts w:hint="eastAsia" w:ascii="宋体" w:hAnsi="宋体" w:cs="宋体"/>
          <w:bCs/>
          <w:highlight w:val="none"/>
        </w:rPr>
      </w:pPr>
      <w:r>
        <w:rPr>
          <w:rFonts w:hint="eastAsia" w:ascii="宋体" w:hAnsi="宋体" w:eastAsia="宋体" w:cs="宋体"/>
          <w:bCs/>
          <w:color w:val="auto"/>
          <w:sz w:val="24"/>
          <w:highlight w:val="none"/>
        </w:rPr>
        <w:t>提供主流国产商用数据库服务，支持3种及以上国产数据库单机、集群的主流版本，提供数据库的安装部署和各种故障处理及日常维护。</w:t>
      </w:r>
    </w:p>
    <w:p>
      <w:pPr>
        <w:pStyle w:val="6"/>
        <w:pageBreakBefore w:val="0"/>
        <w:widowControl w:val="0"/>
        <w:kinsoku/>
        <w:wordWrap/>
        <w:overflowPunct/>
        <w:topLinePunct w:val="0"/>
        <w:autoSpaceDE/>
        <w:autoSpaceDN/>
        <w:bidi w:val="0"/>
        <w:spacing w:before="0" w:after="0" w:line="360" w:lineRule="auto"/>
        <w:rPr>
          <w:rFonts w:hint="eastAsia" w:ascii="宋体" w:hAnsi="宋体" w:cs="宋体"/>
          <w:bCs/>
          <w:highlight w:val="none"/>
        </w:rPr>
      </w:pPr>
      <w:r>
        <w:rPr>
          <w:rFonts w:hint="eastAsia" w:ascii="宋体" w:hAnsi="宋体" w:cs="宋体"/>
          <w:bCs/>
          <w:highlight w:val="none"/>
        </w:rPr>
        <w:t>2.2.</w:t>
      </w:r>
      <w:r>
        <w:rPr>
          <w:rFonts w:hint="eastAsia" w:ascii="宋体" w:hAnsi="宋体" w:cs="宋体"/>
          <w:bCs/>
          <w:highlight w:val="none"/>
          <w:lang w:val="en-US" w:eastAsia="zh-CN"/>
        </w:rPr>
        <w:t>8</w:t>
      </w:r>
      <w:r>
        <w:rPr>
          <w:rFonts w:hint="eastAsia" w:ascii="宋体" w:hAnsi="宋体" w:cs="宋体"/>
          <w:bCs/>
          <w:highlight w:val="none"/>
        </w:rPr>
        <w:t>安全服务</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highlight w:val="none"/>
        </w:rPr>
      </w:pPr>
      <w:r>
        <w:rPr>
          <w:rFonts w:hint="eastAsia" w:ascii="宋体" w:hAnsi="宋体" w:cs="宋体"/>
          <w:b w:val="0"/>
          <w:bCs/>
          <w:sz w:val="24"/>
          <w:highlight w:val="none"/>
        </w:rPr>
        <w:t>2.2.</w:t>
      </w:r>
      <w:r>
        <w:rPr>
          <w:rFonts w:hint="eastAsia" w:ascii="宋体" w:hAnsi="宋体" w:cs="宋体"/>
          <w:b w:val="0"/>
          <w:bCs/>
          <w:sz w:val="24"/>
          <w:highlight w:val="none"/>
          <w:lang w:val="en-US" w:eastAsia="zh-CN"/>
        </w:rPr>
        <w:t>8</w:t>
      </w:r>
      <w:r>
        <w:rPr>
          <w:rFonts w:hint="eastAsia" w:ascii="宋体" w:hAnsi="宋体" w:cs="宋体"/>
          <w:b w:val="0"/>
          <w:bCs/>
          <w:sz w:val="24"/>
          <w:highlight w:val="none"/>
        </w:rPr>
        <w:t>.1服务内容</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WAF防护服务</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按照采购人的具体需求，提供互联网WAF防护服务，保证用户对已知安全隐患进行防护，实时升级漏洞补丁，配置防护策略，起到前端防护作用。</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云端抗DDOS服务</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按照采购人的具体需求，根据流量提供云端抗DDOS服务，为云内应用系统抵御大流量分布式拒绝服务攻击。在提供服务的过程中需做好与采购人和对应项目的应用开发厂商的协调沟通工作。</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云端APT防护服务</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按照采购人的具体需求，提供云端APT防护服务，对未知攻击威胁进行检测和防护，发现隐蔽威胁、木马后门等异常威胁。通过APT防护服务，实现恶意代码检测、恶意软件检测及攻击溯源。</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主机杀毒服务</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提供主机杀毒服务，对云主机进行定期的病毒查杀，实施杀毒软件集中控制。</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主机安全加固</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提供主机安全加固服务，针对预警自查、漏洞扫描或等级测评结果对操作系统进行安全加固，用以解决等级测评结果中所显示的漏洞。</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网页防篡改服务</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按照采购人的具体需求，提供网页防篡改服务。通过防篡改软件对用户页面进行实时防护，减少用户页面被恶意篡改的可能性。</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7</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主机防护服务</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提供符合等保三级要求的主机权限管理及安全防护。可对主机系统安全涉及的控制点形成立体防护。</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8</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主机漏洞扫描</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eastAsia="宋体" w:cs="宋体"/>
          <w:bCs/>
          <w:color w:val="auto"/>
          <w:sz w:val="24"/>
          <w:highlight w:val="none"/>
        </w:rPr>
        <w:t>基于漏洞数据库，通过扫描等手段对主机安全脆弱性进行检测。</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szCs w:val="22"/>
          <w:highlight w:val="none"/>
        </w:rPr>
      </w:pPr>
      <w:r>
        <w:rPr>
          <w:rFonts w:hint="eastAsia" w:ascii="宋体" w:hAnsi="宋体" w:cs="宋体"/>
          <w:b w:val="0"/>
          <w:bCs/>
          <w:sz w:val="24"/>
          <w:szCs w:val="22"/>
          <w:highlight w:val="none"/>
        </w:rPr>
        <w:t>2.2.</w:t>
      </w:r>
      <w:r>
        <w:rPr>
          <w:rFonts w:hint="eastAsia" w:ascii="宋体" w:hAnsi="宋体" w:cs="宋体"/>
          <w:b w:val="0"/>
          <w:bCs/>
          <w:sz w:val="24"/>
          <w:szCs w:val="22"/>
          <w:highlight w:val="none"/>
          <w:lang w:val="en-US" w:eastAsia="zh-CN"/>
        </w:rPr>
        <w:t>8</w:t>
      </w:r>
      <w:r>
        <w:rPr>
          <w:rFonts w:hint="eastAsia" w:ascii="宋体" w:hAnsi="宋体" w:cs="宋体"/>
          <w:b w:val="0"/>
          <w:bCs/>
          <w:sz w:val="24"/>
          <w:szCs w:val="22"/>
          <w:highlight w:val="none"/>
        </w:rPr>
        <w:t>.2服务标准</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投标人需利用监控系统或人工硬件设备及应用系统的运行情况进行7*24小时的不间断巡检监控，及时发现安全隐患，通知相关人员及时处理，并形成监控报告。每周反馈日志审计和数据库审计报告，进行总结分析。</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（3）投标人需纳入行业监管部门网络安全保障整体工作体系，在涉及重保、安全事件、威胁情报等方面，配合安全服务商开展研判、处置、分析等工作。</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投标人承担云平台数据防篡改、防丢失的安全责任。业务数据未经采购人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39786-2021中相应等级规定；保障其上的租户安全、云主机安全、业务安全和数据安全；</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（6）投标人应坚持制度和技术并重，建立健全网络和数据安全管理制度，落实网络和数据安全管理要求。</w:t>
      </w:r>
      <w:r>
        <w:rPr>
          <w:rFonts w:hint="eastAsia" w:ascii="宋体" w:hAnsi="宋体" w:cs="宋体"/>
          <w:bCs/>
          <w:sz w:val="24"/>
          <w:highlight w:val="none"/>
          <w:lang w:val="en-US" w:eastAsia="zh-CN"/>
        </w:rPr>
        <w:t>需要制定并提供云平台安全管理保障方案、云平台安全技术保障方案、云平台数据安全方案等。并</w:t>
      </w:r>
      <w:r>
        <w:rPr>
          <w:rFonts w:hint="eastAsia" w:ascii="宋体" w:hAnsi="宋体" w:cs="宋体"/>
          <w:bCs/>
          <w:sz w:val="24"/>
          <w:highlight w:val="none"/>
        </w:rPr>
        <w:t>采取相应技术措施，保障网络免受干扰、破坏或者未经授权的访问，防止数据泄露或者被窃取、篡改、破坏。</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对于关键信息基础设施，应当落实网络安全审查要求，采购网络产品和服务的，应当预判该产品和服务投入使用后可能带来的国家安全风险，确保采购国产化的网络产品和服务。影响或者可能影响国家安全的，应当申报网络安全审查。</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（8）定期开展数据安全风险评估，发现数据安全隐患风险时，应当及时整改加固，采取必要的安全保护措施，防范数据安全风险。</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（9）投标人应明确接触网络和信息系统、数据时的申请及审批流程，做好实名登记、权限控制、保密协议签署等管理。</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（10）在服务期内，承载政务云平台的软硬件应在原厂维保期限内。</w:t>
      </w:r>
    </w:p>
    <w:p>
      <w:pPr>
        <w:pStyle w:val="6"/>
        <w:pageBreakBefore w:val="0"/>
        <w:widowControl w:val="0"/>
        <w:kinsoku/>
        <w:wordWrap/>
        <w:overflowPunct/>
        <w:topLinePunct w:val="0"/>
        <w:autoSpaceDE/>
        <w:autoSpaceDN/>
        <w:bidi w:val="0"/>
        <w:spacing w:before="0" w:after="0" w:line="360" w:lineRule="auto"/>
        <w:rPr>
          <w:rFonts w:hint="eastAsia" w:ascii="宋体" w:hAnsi="宋体" w:eastAsia="宋体" w:cs="宋体"/>
          <w:bCs/>
          <w:highlight w:val="none"/>
        </w:rPr>
      </w:pPr>
      <w:r>
        <w:rPr>
          <w:rFonts w:hint="eastAsia" w:ascii="宋体" w:hAnsi="宋体" w:eastAsia="宋体" w:cs="宋体"/>
          <w:bCs/>
          <w:highlight w:val="none"/>
          <w:lang w:val="en-US" w:eastAsia="zh-CN"/>
        </w:rPr>
        <w:t>2.2.9</w:t>
      </w:r>
      <w:r>
        <w:rPr>
          <w:rFonts w:hint="eastAsia" w:ascii="宋体" w:hAnsi="宋体" w:eastAsia="宋体" w:cs="宋体"/>
          <w:bCs/>
          <w:highlight w:val="none"/>
        </w:rPr>
        <w:t>日志服务</w:t>
      </w:r>
    </w:p>
    <w:p>
      <w:pPr>
        <w:pStyle w:val="7"/>
        <w:pageBreakBefore w:val="0"/>
        <w:widowControl w:val="0"/>
        <w:kinsoku/>
        <w:wordWrap/>
        <w:overflowPunct/>
        <w:topLinePunct w:val="0"/>
        <w:autoSpaceDE/>
        <w:autoSpaceDN/>
        <w:bidi w:val="0"/>
        <w:spacing w:before="0" w:after="0" w:line="360" w:lineRule="auto"/>
        <w:rPr>
          <w:rFonts w:hint="eastAsia" w:ascii="宋体" w:hAnsi="宋体" w:eastAsia="宋体" w:cs="宋体"/>
          <w:b w:val="0"/>
          <w:bCs/>
          <w:sz w:val="24"/>
          <w:szCs w:val="22"/>
          <w:highlight w:val="none"/>
          <w:lang w:val="en-US" w:eastAsia="zh-CN"/>
        </w:rPr>
      </w:pPr>
      <w:r>
        <w:rPr>
          <w:rFonts w:hint="eastAsia" w:ascii="宋体" w:hAnsi="宋体" w:eastAsia="宋体" w:cs="宋体"/>
          <w:b w:val="0"/>
          <w:bCs/>
          <w:sz w:val="24"/>
          <w:szCs w:val="22"/>
          <w:highlight w:val="none"/>
          <w:lang w:val="en-US" w:eastAsia="zh-CN"/>
        </w:rPr>
        <w:t>2.2.9.1服务内容</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日志是发现问题、定位问题的重要信息，投标人提供统一的日志平台服务，针对操作系统进行日志收集，用于了解主机安全情况及资源使用情况，具体内容如下：</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支持的日志格式包括Web Service、Syslog、SNMP、JDBC、ODBC、HTTP/FTP、JASON等多种类型；</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支持通过统一的日志采集设备，对市级政务云内各类主机进行日志收集，并进行进一步的分析计算；</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支持结合威胁情报针对主机日志采集的高级威胁攻击进行检测；</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通过对主机日志数据分析，实现对用户和业务访问的精细化管理，建立网络流量的多种流量基线，从而为后续的链路、带宽和服务器扩容提供技术支撑；</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5</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rPr>
        <w:t>支持自定义日志副本数；</w:t>
      </w:r>
    </w:p>
    <w:p>
      <w:pPr>
        <w:pStyle w:val="7"/>
        <w:pageBreakBefore w:val="0"/>
        <w:widowControl w:val="0"/>
        <w:kinsoku/>
        <w:wordWrap/>
        <w:overflowPunct/>
        <w:topLinePunct w:val="0"/>
        <w:autoSpaceDE/>
        <w:autoSpaceDN/>
        <w:bidi w:val="0"/>
        <w:spacing w:before="0" w:after="0" w:line="360" w:lineRule="auto"/>
        <w:rPr>
          <w:rFonts w:hint="eastAsia" w:ascii="宋体" w:hAnsi="宋体" w:eastAsia="宋体" w:cs="宋体"/>
          <w:b w:val="0"/>
          <w:bCs/>
          <w:sz w:val="24"/>
          <w:szCs w:val="22"/>
          <w:highlight w:val="none"/>
        </w:rPr>
      </w:pPr>
      <w:r>
        <w:rPr>
          <w:rFonts w:hint="eastAsia" w:ascii="宋体" w:hAnsi="宋体" w:eastAsia="宋体" w:cs="宋体"/>
          <w:b w:val="0"/>
          <w:bCs/>
          <w:sz w:val="24"/>
          <w:szCs w:val="22"/>
          <w:highlight w:val="none"/>
          <w:lang w:val="en-US" w:eastAsia="zh-CN"/>
        </w:rPr>
        <w:t>2.2.9</w:t>
      </w:r>
      <w:r>
        <w:rPr>
          <w:rFonts w:hint="eastAsia" w:ascii="宋体" w:hAnsi="宋体" w:eastAsia="宋体" w:cs="宋体"/>
          <w:b w:val="0"/>
          <w:bCs/>
          <w:sz w:val="24"/>
          <w:szCs w:val="22"/>
          <w:highlight w:val="none"/>
        </w:rPr>
        <w:t>.2服务标准</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对主机系统日志进行采集分析处理，用于发现各种安全威胁、异常行为事件。主机系统日志应集中存储，且日志存储时间不低于</w:t>
      </w:r>
      <w:r>
        <w:rPr>
          <w:rFonts w:hint="eastAsia" w:ascii="宋体" w:hAnsi="宋体" w:eastAsia="宋体" w:cs="宋体"/>
          <w:bCs/>
          <w:color w:val="auto"/>
          <w:sz w:val="24"/>
          <w:highlight w:val="none"/>
          <w:lang w:val="en-US" w:eastAsia="zh-CN"/>
        </w:rPr>
        <w:t>6</w:t>
      </w:r>
      <w:r>
        <w:rPr>
          <w:rFonts w:hint="eastAsia" w:ascii="宋体" w:hAnsi="宋体" w:eastAsia="宋体" w:cs="宋体"/>
          <w:bCs/>
          <w:color w:val="auto"/>
          <w:sz w:val="24"/>
          <w:highlight w:val="none"/>
        </w:rPr>
        <w:t>个月。</w:t>
      </w:r>
    </w:p>
    <w:p>
      <w:pPr>
        <w:pStyle w:val="6"/>
        <w:pageBreakBefore w:val="0"/>
        <w:widowControl w:val="0"/>
        <w:kinsoku/>
        <w:wordWrap/>
        <w:overflowPunct/>
        <w:topLinePunct w:val="0"/>
        <w:autoSpaceDE/>
        <w:autoSpaceDN/>
        <w:bidi w:val="0"/>
        <w:spacing w:before="0" w:after="0" w:line="360" w:lineRule="auto"/>
        <w:rPr>
          <w:rFonts w:hint="eastAsia" w:ascii="宋体" w:hAnsi="宋体" w:cs="宋体"/>
          <w:bCs/>
          <w:highlight w:val="none"/>
        </w:rPr>
      </w:pPr>
      <w:r>
        <w:rPr>
          <w:rFonts w:hint="eastAsia" w:ascii="宋体" w:hAnsi="宋体" w:cs="宋体"/>
          <w:bCs/>
          <w:highlight w:val="none"/>
        </w:rPr>
        <w:t>2.2.</w:t>
      </w:r>
      <w:r>
        <w:rPr>
          <w:rFonts w:hint="eastAsia" w:ascii="宋体" w:hAnsi="宋体" w:cs="宋体"/>
          <w:bCs/>
          <w:highlight w:val="none"/>
          <w:lang w:val="en-US" w:eastAsia="zh-CN"/>
        </w:rPr>
        <w:t>10</w:t>
      </w:r>
      <w:r>
        <w:rPr>
          <w:rFonts w:hint="eastAsia" w:ascii="宋体" w:hAnsi="宋体" w:cs="宋体"/>
          <w:bCs/>
          <w:highlight w:val="none"/>
        </w:rPr>
        <w:t>迁移服务</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highlight w:val="none"/>
        </w:rPr>
      </w:pPr>
      <w:r>
        <w:rPr>
          <w:rFonts w:hint="eastAsia" w:ascii="宋体" w:hAnsi="宋体" w:cs="宋体"/>
          <w:b w:val="0"/>
          <w:bCs/>
          <w:sz w:val="24"/>
          <w:highlight w:val="none"/>
        </w:rPr>
        <w:t>2.2.</w:t>
      </w:r>
      <w:r>
        <w:rPr>
          <w:rFonts w:hint="eastAsia" w:ascii="宋体" w:hAnsi="宋体" w:cs="宋体"/>
          <w:b w:val="0"/>
          <w:bCs/>
          <w:sz w:val="24"/>
          <w:highlight w:val="none"/>
          <w:lang w:val="en-US" w:eastAsia="zh-CN"/>
        </w:rPr>
        <w:t>10</w:t>
      </w:r>
      <w:r>
        <w:rPr>
          <w:rFonts w:hint="eastAsia" w:ascii="宋体" w:hAnsi="宋体" w:cs="宋体"/>
          <w:b w:val="0"/>
          <w:bCs/>
          <w:sz w:val="24"/>
          <w:highlight w:val="none"/>
        </w:rPr>
        <w:t>.1服务内容</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如需迁移，投标人需提供整体的业务上云迁移服务，应支持X86云主机迁移、单机数据库迁移、高可用数据库迁移等迁移场景。负责需求调研、配合架构规划设计、配合应用迁移部署等工作。</w:t>
      </w:r>
    </w:p>
    <w:p>
      <w:pPr>
        <w:pStyle w:val="7"/>
        <w:pageBreakBefore w:val="0"/>
        <w:widowControl w:val="0"/>
        <w:kinsoku/>
        <w:wordWrap/>
        <w:overflowPunct/>
        <w:topLinePunct w:val="0"/>
        <w:autoSpaceDE/>
        <w:autoSpaceDN/>
        <w:bidi w:val="0"/>
        <w:spacing w:before="0" w:after="0" w:line="360" w:lineRule="auto"/>
        <w:rPr>
          <w:rFonts w:hint="eastAsia" w:ascii="宋体" w:hAnsi="宋体" w:cs="宋体"/>
          <w:b w:val="0"/>
          <w:bCs/>
          <w:sz w:val="24"/>
          <w:szCs w:val="22"/>
          <w:highlight w:val="none"/>
        </w:rPr>
      </w:pPr>
      <w:r>
        <w:rPr>
          <w:rFonts w:hint="eastAsia" w:ascii="宋体" w:hAnsi="宋体" w:cs="宋体"/>
          <w:b w:val="0"/>
          <w:bCs/>
          <w:sz w:val="24"/>
          <w:szCs w:val="22"/>
          <w:highlight w:val="none"/>
        </w:rPr>
        <w:t>2.2.</w:t>
      </w:r>
      <w:r>
        <w:rPr>
          <w:rFonts w:hint="eastAsia" w:ascii="宋体" w:hAnsi="宋体" w:cs="宋体"/>
          <w:b w:val="0"/>
          <w:bCs/>
          <w:sz w:val="24"/>
          <w:szCs w:val="22"/>
          <w:highlight w:val="none"/>
          <w:lang w:val="en-US" w:eastAsia="zh-CN"/>
        </w:rPr>
        <w:t>10</w:t>
      </w:r>
      <w:r>
        <w:rPr>
          <w:rFonts w:hint="eastAsia" w:ascii="宋体" w:hAnsi="宋体" w:cs="宋体"/>
          <w:b w:val="0"/>
          <w:bCs/>
          <w:sz w:val="24"/>
          <w:szCs w:val="22"/>
          <w:highlight w:val="none"/>
        </w:rPr>
        <w:t>.2服务标准</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本项目涉及的业务系统为采购人在用的生产系统，目前在政务云上平稳运行，因此保障业务连续性是重要的保障需求。迁移服务具体要求如下：</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（1）投标人需编制业务连续性服务方案。</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本项目如涉及系统迁移，在连续性服务方案中需提供确实可行的迁移部署服务子方案，迁移部署服务子方案应包括（但不限于）迁移部署流程（包含但不限于应用、虚拟机和数据类迁移）、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（3）本项目如涉及系统迁移，为保障业务系统的连续性，投标人应承诺自中标之日起，积极与原服务商对接，在</w:t>
      </w:r>
      <w:r>
        <w:rPr>
          <w:rFonts w:hint="eastAsia" w:ascii="宋体" w:hAnsi="宋体" w:cs="宋体"/>
          <w:bCs/>
          <w:sz w:val="24"/>
          <w:highlight w:val="none"/>
          <w:lang w:val="en-US" w:eastAsia="zh-CN"/>
        </w:rPr>
        <w:t>4</w:t>
      </w:r>
      <w:r>
        <w:rPr>
          <w:rFonts w:hint="eastAsia" w:ascii="宋体" w:hAnsi="宋体" w:cs="宋体"/>
          <w:bCs/>
          <w:sz w:val="24"/>
          <w:highlight w:val="none"/>
        </w:rPr>
        <w:t>0个工作日内，完成系统迁移平滑过渡，且因此产生的各项费用（包括但不限于测试阶段的云资源费用，系统开发商对业务系统的部署、调试费用等），应包含在投标人的报价中，提供“承诺函”并加盖投标人公章。</w:t>
      </w:r>
    </w:p>
    <w:p>
      <w:pPr>
        <w:pStyle w:val="6"/>
        <w:pageBreakBefore w:val="0"/>
        <w:widowControl w:val="0"/>
        <w:kinsoku/>
        <w:wordWrap/>
        <w:overflowPunct/>
        <w:topLinePunct w:val="0"/>
        <w:autoSpaceDE/>
        <w:autoSpaceDN/>
        <w:bidi w:val="0"/>
        <w:spacing w:before="0" w:after="0" w:line="360" w:lineRule="auto"/>
        <w:rPr>
          <w:rFonts w:hint="eastAsia" w:ascii="宋体" w:hAnsi="宋体" w:eastAsia="宋体" w:cs="宋体"/>
          <w:bCs/>
          <w:highlight w:val="none"/>
        </w:rPr>
      </w:pPr>
      <w:r>
        <w:rPr>
          <w:rFonts w:hint="eastAsia" w:ascii="宋体" w:hAnsi="宋体" w:eastAsia="宋体" w:cs="宋体"/>
          <w:bCs/>
          <w:highlight w:val="none"/>
          <w:lang w:val="en-US" w:eastAsia="zh-CN"/>
        </w:rPr>
        <w:t>2.2.11</w:t>
      </w:r>
      <w:r>
        <w:rPr>
          <w:rFonts w:hint="eastAsia" w:ascii="宋体" w:hAnsi="宋体" w:eastAsia="宋体" w:cs="宋体"/>
          <w:bCs/>
          <w:highlight w:val="none"/>
        </w:rPr>
        <w:t>其他服务</w:t>
      </w:r>
    </w:p>
    <w:p>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按照采购人的有关管理规定及具体需求提供个性化服务，包括密码应用安全支撑服务。</w:t>
      </w:r>
    </w:p>
    <w:p>
      <w:pPr>
        <w:snapToGrid w:val="0"/>
        <w:spacing w:line="360" w:lineRule="auto"/>
        <w:ind w:firstLine="480" w:firstLineChars="200"/>
        <w:rPr>
          <w:rFonts w:hint="eastAsia" w:ascii="宋体" w:hAnsi="宋体" w:cs="宋体"/>
          <w:bCs/>
          <w:sz w:val="24"/>
          <w:highlight w:val="none"/>
        </w:rPr>
      </w:pPr>
      <w:r>
        <w:rPr>
          <w:rFonts w:hint="eastAsia" w:ascii="宋体" w:hAnsi="宋体" w:eastAsia="宋体" w:cs="宋体"/>
          <w:bCs/>
          <w:color w:val="auto"/>
          <w:sz w:val="24"/>
          <w:highlight w:val="none"/>
        </w:rPr>
        <w:t>按照采购人有关国产密码应用改造等相关需求，提供咨询、评估、论证、使用等支撑保障服务，密码服务包括提供SSL证书、身份认证、数据加解密、数据安全传输 、签名验签、密钥管理等密码应用安全支撑服务。</w:t>
      </w:r>
    </w:p>
    <w:p>
      <w:pPr>
        <w:pageBreakBefore w:val="0"/>
        <w:widowControl w:val="0"/>
        <w:kinsoku/>
        <w:wordWrap/>
        <w:overflowPunct/>
        <w:topLinePunct w:val="0"/>
        <w:autoSpaceDE/>
        <w:autoSpaceDN/>
        <w:bidi w:val="0"/>
        <w:snapToGrid w:val="0"/>
        <w:spacing w:line="360" w:lineRule="auto"/>
        <w:outlineLvl w:val="2"/>
        <w:rPr>
          <w:rFonts w:hint="eastAsia" w:ascii="宋体" w:hAnsi="宋体" w:cs="宋体"/>
          <w:sz w:val="24"/>
          <w:highlight w:val="none"/>
        </w:rPr>
      </w:pPr>
      <w:bookmarkStart w:id="2" w:name="_Hlk214837987"/>
      <w:r>
        <w:rPr>
          <w:rFonts w:hint="eastAsia" w:ascii="宋体" w:hAnsi="宋体" w:cs="宋体"/>
          <w:sz w:val="24"/>
          <w:highlight w:val="none"/>
        </w:rPr>
        <w:t>2.3运维团队要求</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（1）服务期内，投标人须设有7×24小时电话响应服务、具备运维团队，提供售后服务保障。团队成员应明确职责，架构清晰，岗位设置合理，且具备与本项目相关的项目经验。</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（2）投标人须提供</w:t>
      </w:r>
      <w:r>
        <w:rPr>
          <w:rFonts w:hint="eastAsia" w:ascii="宋体" w:hAnsi="宋体"/>
          <w:sz w:val="24"/>
          <w:highlight w:val="none"/>
        </w:rPr>
        <w:t>项目经理1人、技术负责人1人以及相应实施人员，项目团队人员8人（含项目经理和技术负责人）及以上</w:t>
      </w:r>
      <w:r>
        <w:rPr>
          <w:rFonts w:hint="eastAsia" w:ascii="宋体" w:hAnsi="宋体" w:cs="宋体"/>
          <w:bCs/>
          <w:sz w:val="24"/>
          <w:highlight w:val="none"/>
        </w:rPr>
        <w:t>，为本项目提供服务。项目经理及安全负责人需按照采购人要求，承担云资源服务保障具体工作，技术支持人员要求如下：</w:t>
      </w:r>
    </w:p>
    <w:p>
      <w:pPr>
        <w:pStyle w:val="195"/>
        <w:pageBreakBefore w:val="0"/>
        <w:widowControl w:val="0"/>
        <w:tabs>
          <w:tab w:val="left" w:pos="1162"/>
        </w:tabs>
        <w:kinsoku/>
        <w:wordWrap/>
        <w:overflowPunct/>
        <w:topLinePunct w:val="0"/>
        <w:autoSpaceDE/>
        <w:autoSpaceDN/>
        <w:bidi w:val="0"/>
        <w:spacing w:line="360" w:lineRule="auto"/>
        <w:ind w:left="1" w:firstLine="480"/>
        <w:rPr>
          <w:rFonts w:hint="eastAsia" w:ascii="宋体" w:hAnsi="宋体"/>
          <w:sz w:val="24"/>
          <w:szCs w:val="24"/>
          <w:highlight w:val="none"/>
        </w:rPr>
      </w:pPr>
      <w:r>
        <w:rPr>
          <w:rFonts w:hint="eastAsia" w:ascii="宋体" w:hAnsi="宋体"/>
          <w:sz w:val="24"/>
          <w:szCs w:val="24"/>
          <w:highlight w:val="none"/>
        </w:rPr>
        <w:t>投标人需为本项目指派经验丰富的项目经理，项目经理应</w:t>
      </w:r>
      <w:r>
        <w:rPr>
          <w:rFonts w:hint="eastAsia"/>
          <w:sz w:val="24"/>
          <w:szCs w:val="24"/>
          <w:highlight w:val="none"/>
          <w:lang w:bidi="ar"/>
        </w:rPr>
        <w:t>同时具备信息系统项目管理师（高级）</w:t>
      </w:r>
      <w:r>
        <w:rPr>
          <w:rFonts w:hint="eastAsia"/>
          <w:sz w:val="24"/>
          <w:szCs w:val="24"/>
          <w:highlight w:val="none"/>
          <w:lang w:eastAsia="zh-CN" w:bidi="ar"/>
        </w:rPr>
        <w:t>、</w:t>
      </w:r>
      <w:r>
        <w:rPr>
          <w:rFonts w:hint="eastAsia" w:ascii="宋体" w:hAnsi="宋体" w:eastAsia="宋体" w:cs="宋体"/>
          <w:i w:val="0"/>
          <w:iCs w:val="0"/>
          <w:color w:val="000000"/>
          <w:kern w:val="0"/>
          <w:sz w:val="24"/>
          <w:szCs w:val="24"/>
          <w:highlight w:val="none"/>
          <w:u w:val="none"/>
          <w:lang w:val="en-US" w:eastAsia="zh-CN" w:bidi="ar"/>
        </w:rPr>
        <w:t>信息安全保障人员认证证书（应急服务专业级</w:t>
      </w:r>
      <w:r>
        <w:rPr>
          <w:rFonts w:hint="eastAsia" w:ascii="宋体" w:hAnsi="宋体" w:cs="宋体"/>
          <w:i w:val="0"/>
          <w:iCs w:val="0"/>
          <w:color w:val="000000"/>
          <w:kern w:val="0"/>
          <w:sz w:val="24"/>
          <w:szCs w:val="24"/>
          <w:highlight w:val="none"/>
          <w:u w:val="none"/>
          <w:lang w:val="en-US" w:eastAsia="zh-CN" w:bidi="ar"/>
        </w:rPr>
        <w:t>及以上</w:t>
      </w:r>
      <w:r>
        <w:rPr>
          <w:rFonts w:hint="eastAsia" w:ascii="宋体" w:hAnsi="宋体" w:eastAsia="宋体" w:cs="宋体"/>
          <w:i w:val="0"/>
          <w:iCs w:val="0"/>
          <w:color w:val="000000"/>
          <w:kern w:val="0"/>
          <w:sz w:val="24"/>
          <w:szCs w:val="24"/>
          <w:highlight w:val="none"/>
          <w:u w:val="none"/>
          <w:lang w:val="en-US" w:eastAsia="zh-CN" w:bidi="ar"/>
        </w:rPr>
        <w:t>）</w:t>
      </w:r>
      <w:r>
        <w:rPr>
          <w:rFonts w:hint="eastAsia"/>
          <w:sz w:val="24"/>
          <w:szCs w:val="24"/>
          <w:highlight w:val="none"/>
          <w:lang w:bidi="ar"/>
        </w:rPr>
        <w:t>、信息安全保障人员认证证书（安全运维专业级</w:t>
      </w:r>
      <w:r>
        <w:rPr>
          <w:rFonts w:hint="eastAsia"/>
          <w:sz w:val="24"/>
          <w:szCs w:val="24"/>
          <w:highlight w:val="none"/>
          <w:lang w:val="en-US" w:eastAsia="zh-CN" w:bidi="ar"/>
        </w:rPr>
        <w:t>及以上</w:t>
      </w:r>
      <w:r>
        <w:rPr>
          <w:rFonts w:hint="eastAsia"/>
          <w:sz w:val="24"/>
          <w:szCs w:val="24"/>
          <w:highlight w:val="none"/>
          <w:lang w:bidi="ar"/>
        </w:rPr>
        <w:t>）</w:t>
      </w:r>
      <w:r>
        <w:rPr>
          <w:rFonts w:hint="eastAsia"/>
          <w:sz w:val="24"/>
          <w:szCs w:val="24"/>
          <w:highlight w:val="none"/>
          <w:lang w:eastAsia="zh-CN" w:bidi="ar"/>
        </w:rPr>
        <w:t>、</w:t>
      </w:r>
      <w:r>
        <w:rPr>
          <w:rFonts w:hint="eastAsia" w:ascii="宋体" w:hAnsi="宋体" w:eastAsia="宋体" w:cs="宋体"/>
          <w:i w:val="0"/>
          <w:iCs w:val="0"/>
          <w:color w:val="000000"/>
          <w:kern w:val="0"/>
          <w:sz w:val="24"/>
          <w:szCs w:val="24"/>
          <w:highlight w:val="none"/>
          <w:u w:val="none"/>
          <w:lang w:val="en-US" w:eastAsia="zh-CN" w:bidi="ar"/>
        </w:rPr>
        <w:t>国家重要信息系统保护人员证书（CIIPT-A或CIIPT-D）</w:t>
      </w:r>
      <w:r>
        <w:rPr>
          <w:rFonts w:hint="eastAsia" w:ascii="宋体" w:hAnsi="宋体"/>
          <w:sz w:val="24"/>
          <w:szCs w:val="24"/>
          <w:highlight w:val="none"/>
        </w:rPr>
        <w:t>，具备丰富的政府网站建设运维经验，从事相关岗位工作不少于5年（含5年），具有大型项目团队的优秀管理能力，善于协调各方资源，保证项目服务期的现场保障要求。</w:t>
      </w:r>
    </w:p>
    <w:p>
      <w:pPr>
        <w:pStyle w:val="195"/>
        <w:pageBreakBefore w:val="0"/>
        <w:widowControl w:val="0"/>
        <w:tabs>
          <w:tab w:val="left" w:pos="1162"/>
        </w:tabs>
        <w:kinsoku/>
        <w:wordWrap/>
        <w:overflowPunct/>
        <w:topLinePunct w:val="0"/>
        <w:autoSpaceDE/>
        <w:autoSpaceDN/>
        <w:bidi w:val="0"/>
        <w:spacing w:line="360" w:lineRule="auto"/>
        <w:ind w:left="1" w:firstLine="480"/>
        <w:rPr>
          <w:rFonts w:hint="eastAsia" w:ascii="宋体" w:hAnsi="宋体"/>
          <w:sz w:val="24"/>
          <w:szCs w:val="24"/>
          <w:highlight w:val="none"/>
        </w:rPr>
      </w:pPr>
      <w:r>
        <w:rPr>
          <w:rFonts w:hint="eastAsia" w:ascii="宋体" w:hAnsi="宋体"/>
          <w:sz w:val="24"/>
          <w:szCs w:val="24"/>
          <w:highlight w:val="none"/>
        </w:rPr>
        <w:t>技术负责人需具有5年以上（含5年）工作经验并同时</w:t>
      </w:r>
      <w:r>
        <w:rPr>
          <w:rFonts w:hint="eastAsia"/>
          <w:sz w:val="24"/>
          <w:szCs w:val="24"/>
          <w:highlight w:val="none"/>
          <w:lang w:bidi="ar"/>
        </w:rPr>
        <w:t>具备信息安全保障人员认证证书（安全集成专业级</w:t>
      </w:r>
      <w:r>
        <w:rPr>
          <w:rFonts w:hint="eastAsia"/>
          <w:sz w:val="24"/>
          <w:szCs w:val="24"/>
          <w:highlight w:val="none"/>
          <w:lang w:val="en-US" w:eastAsia="zh-CN" w:bidi="ar"/>
        </w:rPr>
        <w:t>及以上</w:t>
      </w:r>
      <w:r>
        <w:rPr>
          <w:rFonts w:hint="eastAsia"/>
          <w:sz w:val="24"/>
          <w:szCs w:val="24"/>
          <w:highlight w:val="none"/>
          <w:lang w:bidi="ar"/>
        </w:rPr>
        <w:t>）、信息安全保障人员认证证书（应急服务专业级</w:t>
      </w:r>
      <w:r>
        <w:rPr>
          <w:rFonts w:hint="eastAsia"/>
          <w:sz w:val="24"/>
          <w:szCs w:val="24"/>
          <w:highlight w:val="none"/>
          <w:lang w:val="en-US" w:eastAsia="zh-CN" w:bidi="ar"/>
        </w:rPr>
        <w:t>及以上</w:t>
      </w:r>
      <w:r>
        <w:rPr>
          <w:rFonts w:hint="eastAsia"/>
          <w:sz w:val="24"/>
          <w:szCs w:val="24"/>
          <w:highlight w:val="none"/>
          <w:lang w:bidi="ar"/>
        </w:rPr>
        <w:t>）</w:t>
      </w:r>
      <w:r>
        <w:rPr>
          <w:rFonts w:hint="eastAsia"/>
          <w:sz w:val="24"/>
          <w:szCs w:val="24"/>
          <w:highlight w:val="none"/>
          <w:lang w:eastAsia="zh-CN" w:bidi="ar"/>
        </w:rPr>
        <w:t>、</w:t>
      </w:r>
      <w:r>
        <w:rPr>
          <w:rFonts w:hint="eastAsia" w:ascii="宋体" w:hAnsi="宋体" w:eastAsia="宋体" w:cs="宋体"/>
          <w:i w:val="0"/>
          <w:iCs w:val="0"/>
          <w:color w:val="000000"/>
          <w:kern w:val="0"/>
          <w:sz w:val="24"/>
          <w:szCs w:val="24"/>
          <w:highlight w:val="none"/>
          <w:u w:val="none"/>
          <w:lang w:val="en-US" w:eastAsia="zh-CN" w:bidi="ar"/>
        </w:rPr>
        <w:t>注册信息安全工程师（CISE）</w:t>
      </w:r>
      <w:r>
        <w:rPr>
          <w:rFonts w:ascii="宋体" w:hAnsi="宋体"/>
          <w:sz w:val="24"/>
          <w:szCs w:val="24"/>
          <w:highlight w:val="none"/>
        </w:rPr>
        <w:t>。</w:t>
      </w:r>
    </w:p>
    <w:p>
      <w:pPr>
        <w:pStyle w:val="195"/>
        <w:pageBreakBefore w:val="0"/>
        <w:widowControl w:val="0"/>
        <w:tabs>
          <w:tab w:val="left" w:pos="1162"/>
        </w:tabs>
        <w:kinsoku/>
        <w:wordWrap/>
        <w:overflowPunct/>
        <w:topLinePunct w:val="0"/>
        <w:autoSpaceDE/>
        <w:autoSpaceDN/>
        <w:bidi w:val="0"/>
        <w:spacing w:line="360" w:lineRule="auto"/>
        <w:ind w:left="1" w:firstLine="480"/>
        <w:rPr>
          <w:rFonts w:hint="eastAsia" w:ascii="宋体" w:hAnsi="宋体"/>
          <w:sz w:val="24"/>
          <w:szCs w:val="24"/>
          <w:highlight w:val="none"/>
        </w:rPr>
      </w:pPr>
      <w:r>
        <w:rPr>
          <w:rFonts w:hint="eastAsia" w:ascii="宋体" w:hAnsi="宋体"/>
          <w:sz w:val="24"/>
          <w:szCs w:val="24"/>
          <w:highlight w:val="none"/>
        </w:rPr>
        <w:t>团队成员（除项目经理和技术负责人之外）应至少包括</w:t>
      </w:r>
      <w:r>
        <w:rPr>
          <w:rFonts w:hint="eastAsia" w:ascii="宋体" w:hAnsi="宋体" w:cs="宋体"/>
          <w:color w:val="000000"/>
          <w:sz w:val="24"/>
          <w:szCs w:val="24"/>
          <w:highlight w:val="none"/>
          <w:lang w:bidi="ar"/>
        </w:rPr>
        <w:t>系统架构设计师</w:t>
      </w:r>
      <w:r>
        <w:rPr>
          <w:rFonts w:hint="eastAsia" w:ascii="宋体" w:hAnsi="宋体" w:eastAsia="宋体" w:cs="宋体"/>
          <w:i w:val="0"/>
          <w:iCs w:val="0"/>
          <w:color w:val="000000"/>
          <w:kern w:val="0"/>
          <w:sz w:val="24"/>
          <w:szCs w:val="24"/>
          <w:highlight w:val="none"/>
          <w:u w:val="none"/>
          <w:lang w:val="en-US" w:eastAsia="zh-CN" w:bidi="ar"/>
        </w:rPr>
        <w:t>（高级）</w:t>
      </w:r>
      <w:r>
        <w:rPr>
          <w:rFonts w:hint="eastAsia" w:ascii="宋体" w:hAnsi="宋体" w:cs="宋体"/>
          <w:color w:val="000000"/>
          <w:sz w:val="24"/>
          <w:szCs w:val="24"/>
          <w:highlight w:val="none"/>
          <w:lang w:bidi="ar"/>
        </w:rPr>
        <w:t>、系统规划与管理师</w:t>
      </w:r>
      <w:r>
        <w:rPr>
          <w:rFonts w:hint="eastAsia" w:ascii="宋体" w:hAnsi="宋体" w:eastAsia="宋体" w:cs="宋体"/>
          <w:i w:val="0"/>
          <w:iCs w:val="0"/>
          <w:color w:val="000000"/>
          <w:kern w:val="0"/>
          <w:sz w:val="24"/>
          <w:szCs w:val="24"/>
          <w:highlight w:val="none"/>
          <w:u w:val="none"/>
          <w:lang w:val="en-US" w:eastAsia="zh-CN" w:bidi="ar"/>
        </w:rPr>
        <w:t>（高级）</w:t>
      </w:r>
      <w:r>
        <w:rPr>
          <w:rFonts w:hint="eastAsia" w:ascii="宋体" w:hAnsi="宋体" w:cs="宋体"/>
          <w:color w:val="000000"/>
          <w:sz w:val="24"/>
          <w:szCs w:val="24"/>
          <w:highlight w:val="none"/>
          <w:lang w:bidi="ar"/>
        </w:rPr>
        <w:t>、系统分析师</w:t>
      </w:r>
      <w:r>
        <w:rPr>
          <w:rFonts w:hint="eastAsia" w:ascii="宋体" w:hAnsi="宋体" w:eastAsia="宋体" w:cs="宋体"/>
          <w:i w:val="0"/>
          <w:iCs w:val="0"/>
          <w:color w:val="000000"/>
          <w:kern w:val="0"/>
          <w:sz w:val="24"/>
          <w:szCs w:val="24"/>
          <w:highlight w:val="none"/>
          <w:u w:val="none"/>
          <w:lang w:val="en-US" w:eastAsia="zh-CN" w:bidi="ar"/>
        </w:rPr>
        <w:t>（高级）、网络规划设计师（高级）、数据库系统工程师（中级）</w:t>
      </w:r>
      <w:r>
        <w:rPr>
          <w:rFonts w:hint="eastAsia" w:ascii="宋体" w:hAnsi="宋体" w:cs="宋体"/>
          <w:color w:val="000000"/>
          <w:sz w:val="24"/>
          <w:szCs w:val="24"/>
          <w:highlight w:val="none"/>
          <w:lang w:bidi="ar"/>
        </w:rPr>
        <w:t>等</w:t>
      </w:r>
      <w:r>
        <w:rPr>
          <w:rFonts w:hint="eastAsia" w:ascii="宋体" w:hAnsi="宋体"/>
          <w:sz w:val="24"/>
          <w:szCs w:val="24"/>
          <w:highlight w:val="none"/>
        </w:rPr>
        <w:t>。</w:t>
      </w:r>
    </w:p>
    <w:p>
      <w:pPr>
        <w:pStyle w:val="195"/>
        <w:pageBreakBefore w:val="0"/>
        <w:widowControl w:val="0"/>
        <w:tabs>
          <w:tab w:val="left" w:pos="1162"/>
        </w:tabs>
        <w:kinsoku/>
        <w:wordWrap/>
        <w:overflowPunct/>
        <w:topLinePunct w:val="0"/>
        <w:autoSpaceDE/>
        <w:autoSpaceDN/>
        <w:bidi w:val="0"/>
        <w:spacing w:line="360" w:lineRule="auto"/>
        <w:ind w:left="1" w:firstLine="480"/>
        <w:rPr>
          <w:rFonts w:hint="eastAsia" w:ascii="宋体" w:hAnsi="宋体"/>
          <w:sz w:val="24"/>
          <w:szCs w:val="24"/>
          <w:highlight w:val="none"/>
        </w:rPr>
      </w:pPr>
      <w:r>
        <w:rPr>
          <w:rFonts w:hint="eastAsia" w:ascii="宋体" w:hAnsi="宋体"/>
          <w:sz w:val="24"/>
          <w:szCs w:val="24"/>
          <w:highlight w:val="none"/>
        </w:rPr>
        <w:t>项目经理应是专职负责人，在服务期内不可更换。项目成员保证60 %以上为固定人员。项目成员如有变化，需提前10个工作日通知采购人项目负责人。</w:t>
      </w:r>
    </w:p>
    <w:bookmarkEnd w:id="2"/>
    <w:p>
      <w:pPr>
        <w:pageBreakBefore w:val="0"/>
        <w:widowControl w:val="0"/>
        <w:kinsoku/>
        <w:wordWrap/>
        <w:overflowPunct/>
        <w:topLinePunct w:val="0"/>
        <w:autoSpaceDE/>
        <w:autoSpaceDN/>
        <w:bidi w:val="0"/>
        <w:spacing w:line="360" w:lineRule="auto"/>
        <w:contextualSpacing/>
        <w:outlineLvl w:val="1"/>
        <w:rPr>
          <w:i/>
          <w:iCs/>
          <w:sz w:val="24"/>
          <w:highlight w:val="none"/>
        </w:rPr>
      </w:pPr>
      <w:r>
        <w:rPr>
          <w:sz w:val="24"/>
          <w:highlight w:val="none"/>
        </w:rPr>
        <w:t>3. 验收标准</w:t>
      </w:r>
    </w:p>
    <w:p>
      <w:pPr>
        <w:pageBreakBefore w:val="0"/>
        <w:widowControl w:val="0"/>
        <w:kinsoku/>
        <w:wordWrap/>
        <w:overflowPunct/>
        <w:topLinePunct w:val="0"/>
        <w:autoSpaceDE/>
        <w:autoSpaceDN/>
        <w:bidi w:val="0"/>
        <w:snapToGrid w:val="0"/>
        <w:spacing w:line="360" w:lineRule="auto"/>
        <w:outlineLvl w:val="2"/>
        <w:rPr>
          <w:rFonts w:hint="eastAsia" w:ascii="宋体" w:hAnsi="宋体" w:cs="宋体"/>
          <w:sz w:val="24"/>
          <w:highlight w:val="none"/>
        </w:rPr>
      </w:pPr>
      <w:r>
        <w:rPr>
          <w:rFonts w:hint="eastAsia" w:ascii="宋体" w:hAnsi="宋体" w:cs="宋体"/>
          <w:sz w:val="24"/>
          <w:highlight w:val="none"/>
        </w:rPr>
        <w:t>3.1服务指标</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（1）云服务全年整体可用性≥99.99%；</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（2）故障响应率100%；</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（3）应急响应时间≤5分钟（重大事件1分钟内响应）；</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（4）云资源综合利用率（云效率，政务云资源使用率综合指标）≥3</w:t>
      </w:r>
      <w:r>
        <w:rPr>
          <w:rFonts w:hint="eastAsia" w:ascii="宋体" w:hAnsi="宋体" w:cs="宋体"/>
          <w:sz w:val="24"/>
          <w:highlight w:val="none"/>
          <w:lang w:val="en-US" w:eastAsia="zh-CN"/>
        </w:rPr>
        <w:t>6</w:t>
      </w:r>
      <w:r>
        <w:rPr>
          <w:rFonts w:hint="eastAsia" w:ascii="宋体" w:hAnsi="宋体" w:cs="宋体"/>
          <w:sz w:val="24"/>
          <w:highlight w:val="none"/>
        </w:rPr>
        <w:t>%；</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（5）运维保障团队提供7*24小时运维保障率100%。</w:t>
      </w:r>
    </w:p>
    <w:p>
      <w:pPr>
        <w:pageBreakBefore w:val="0"/>
        <w:widowControl w:val="0"/>
        <w:kinsoku/>
        <w:wordWrap/>
        <w:overflowPunct/>
        <w:topLinePunct w:val="0"/>
        <w:autoSpaceDE/>
        <w:autoSpaceDN/>
        <w:bidi w:val="0"/>
        <w:snapToGrid w:val="0"/>
        <w:spacing w:line="360" w:lineRule="auto"/>
        <w:outlineLvl w:val="2"/>
        <w:rPr>
          <w:rFonts w:hint="eastAsia" w:ascii="宋体" w:hAnsi="宋体" w:cs="宋体"/>
          <w:sz w:val="24"/>
          <w:highlight w:val="none"/>
        </w:rPr>
      </w:pPr>
      <w:r>
        <w:rPr>
          <w:rFonts w:hint="eastAsia" w:ascii="宋体" w:hAnsi="宋体" w:cs="宋体"/>
          <w:sz w:val="24"/>
          <w:highlight w:val="none"/>
        </w:rPr>
        <w:t>3.2项目验收要求</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（1）投标人所提供的北京市市级政务云基础资源服务应遵循客观、科学、合理的原则，符合《北京市市级政务云管理办法》的相关标准及要求。</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（2）投标人所提供资源应满足采购文件规定的要求。保证合同期内系统安全稳定运行，不因硬件故障导致服务中断4小时及以上。</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（3）服务期满后10个工作日开始对合同项目进行验收，投标人应当在采购人指定的验收日前向采购人提交验收报告。验收报告的内容包括但不限于，合同规定的各项服务清单，各系统设备运行情况。</w:t>
      </w:r>
    </w:p>
    <w:p>
      <w:pPr>
        <w:pageBreakBefore w:val="0"/>
        <w:widowControl w:val="0"/>
        <w:kinsoku/>
        <w:wordWrap/>
        <w:overflowPunct/>
        <w:topLinePunct w:val="0"/>
        <w:autoSpaceDE/>
        <w:autoSpaceDN/>
        <w:bidi w:val="0"/>
        <w:snapToGrid w:val="0"/>
        <w:spacing w:line="360" w:lineRule="auto"/>
        <w:ind w:firstLine="480" w:firstLineChars="200"/>
        <w:rPr>
          <w:b/>
          <w:sz w:val="24"/>
          <w:highlight w:val="none"/>
        </w:rPr>
      </w:pPr>
      <w:r>
        <w:rPr>
          <w:rFonts w:hint="eastAsia" w:ascii="宋体" w:hAnsi="宋体" w:cs="宋体"/>
          <w:sz w:val="24"/>
          <w:highlight w:val="none"/>
        </w:rPr>
        <w:t>（4）服务期届满，投标人按照采购人要求完成所有项目，各项记录、报告等文档齐全，无任何系统遗留问题，并通过由采购人组织的专家验收评审，方可通过验收。</w:t>
      </w:r>
    </w:p>
    <w:p>
      <w:pPr>
        <w:pageBreakBefore w:val="0"/>
        <w:widowControl w:val="0"/>
        <w:kinsoku/>
        <w:wordWrap/>
        <w:overflowPunct/>
        <w:topLinePunct w:val="0"/>
        <w:autoSpaceDE/>
        <w:autoSpaceDN/>
        <w:bidi w:val="0"/>
        <w:spacing w:line="360" w:lineRule="auto"/>
        <w:contextualSpacing/>
        <w:outlineLvl w:val="1"/>
        <w:rPr>
          <w:sz w:val="24"/>
          <w:highlight w:val="none"/>
        </w:rPr>
      </w:pPr>
      <w:r>
        <w:rPr>
          <w:sz w:val="24"/>
          <w:highlight w:val="none"/>
        </w:rPr>
        <w:t>4. 其他要求</w:t>
      </w:r>
    </w:p>
    <w:p>
      <w:pPr>
        <w:pageBreakBefore w:val="0"/>
        <w:widowControl w:val="0"/>
        <w:kinsoku/>
        <w:wordWrap/>
        <w:overflowPunct/>
        <w:topLinePunct w:val="0"/>
        <w:autoSpaceDE/>
        <w:autoSpaceDN/>
        <w:bidi w:val="0"/>
        <w:snapToGrid w:val="0"/>
        <w:spacing w:line="360" w:lineRule="auto"/>
        <w:outlineLvl w:val="2"/>
        <w:rPr>
          <w:rFonts w:hint="eastAsia" w:ascii="宋体" w:hAnsi="宋体" w:cs="宋体"/>
          <w:sz w:val="24"/>
          <w:highlight w:val="none"/>
        </w:rPr>
      </w:pPr>
      <w:r>
        <w:rPr>
          <w:rFonts w:hint="eastAsia" w:ascii="宋体" w:hAnsi="宋体" w:cs="宋体"/>
          <w:sz w:val="24"/>
          <w:highlight w:val="none"/>
        </w:rPr>
        <w:t>4.1合同要求</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（1）采购人与中标人如需变更政府采购合同的相关条款应遵守《中华人民共和国政府采购法》第五章关于政府采购合同的规定。</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（2）采购人应当加强政务网络和信息系统权限管理，最高管理权限务必由采购人专人负责，按照最小必要原则对投标人进行精细化授权，防范越权访问风险。</w:t>
      </w:r>
    </w:p>
    <w:p>
      <w:pPr>
        <w:pageBreakBefore w:val="0"/>
        <w:widowControl w:val="0"/>
        <w:kinsoku/>
        <w:wordWrap/>
        <w:overflowPunct/>
        <w:topLinePunct w:val="0"/>
        <w:autoSpaceDE/>
        <w:autoSpaceDN/>
        <w:bidi w:val="0"/>
        <w:snapToGrid w:val="0"/>
        <w:spacing w:line="360" w:lineRule="auto"/>
        <w:outlineLvl w:val="2"/>
        <w:rPr>
          <w:rFonts w:hint="eastAsia" w:ascii="宋体" w:hAnsi="宋体" w:cs="宋体"/>
          <w:sz w:val="24"/>
          <w:highlight w:val="none"/>
        </w:rPr>
      </w:pPr>
      <w:r>
        <w:rPr>
          <w:rFonts w:hint="eastAsia" w:ascii="宋体" w:hAnsi="宋体" w:cs="宋体"/>
          <w:sz w:val="24"/>
          <w:highlight w:val="none"/>
        </w:rPr>
        <w:t>4.2保密要求</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（3）投标人保证将保密信息的披露范围严格控制在直接从事该项目工作且因工作需要有必要知悉保密信息的工作人员范围内,对投标人非从事该项目的人员一律严格保密。</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（5）任何时间内，一经采购人提出要求，投标人应按照采购人指示在收到采购人书面通知后 5 日内将含有保密信息的所有文件或其他资料归还采购人，且不得擅自复制留存。</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（6）非经采购人特别授权，采购人向投标人提供的任何保密信息并不包括授予投标人该保密信息包含的任何专利权、商标权、著作权、商业秘密或其它类型的知识产权。</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（7）投标人承担上述保密义务的期限为合同有效期间及合同终止后2年，承担上述保密义务的责任主体为投标人（含投标人服务人员）。</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（9）投标人应当对获悉的政务数据、个人信息等予以保密，不得用于其他用途，不得泄露、出售或者非法向他人提供。</w:t>
      </w:r>
    </w:p>
    <w:p>
      <w:pPr>
        <w:pageBreakBefore w:val="0"/>
        <w:widowControl w:val="0"/>
        <w:kinsoku/>
        <w:wordWrap/>
        <w:overflowPunct/>
        <w:topLinePunct w:val="0"/>
        <w:autoSpaceDE/>
        <w:autoSpaceDN/>
        <w:bidi w:val="0"/>
        <w:snapToGrid w:val="0"/>
        <w:spacing w:line="360" w:lineRule="auto"/>
        <w:outlineLvl w:val="2"/>
        <w:rPr>
          <w:rFonts w:hint="eastAsia" w:ascii="宋体" w:hAnsi="宋体" w:cs="宋体"/>
          <w:sz w:val="24"/>
          <w:highlight w:val="none"/>
        </w:rPr>
      </w:pPr>
      <w:r>
        <w:rPr>
          <w:rFonts w:hint="eastAsia" w:ascii="宋体" w:hAnsi="宋体" w:cs="宋体"/>
          <w:sz w:val="24"/>
          <w:highlight w:val="none"/>
        </w:rPr>
        <w:t>4.3知识产权要求</w:t>
      </w:r>
    </w:p>
    <w:p>
      <w:pPr>
        <w:pageBreakBefore w:val="0"/>
        <w:widowControl w:val="0"/>
        <w:kinsoku/>
        <w:wordWrap/>
        <w:overflowPunct/>
        <w:topLinePunct w:val="0"/>
        <w:autoSpaceDE/>
        <w:autoSpaceDN/>
        <w:bidi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（1）投标人应确保本项目所提交成果无知识产权纠纷，项目成果的知识产权属于项目采购人。</w:t>
      </w:r>
    </w:p>
    <w:p>
      <w:pPr>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pPr>
        <w:spacing w:line="360" w:lineRule="auto"/>
        <w:ind w:firstLine="480" w:firstLineChars="200"/>
        <w:rPr>
          <w:highlight w:val="none"/>
        </w:rPr>
      </w:pPr>
      <w:r>
        <w:rPr>
          <w:rFonts w:hint="eastAsia" w:ascii="宋体" w:hAnsi="宋体" w:cs="宋体"/>
          <w:sz w:val="24"/>
          <w:highlight w:val="none"/>
        </w:rPr>
        <w:t>（3）</w:t>
      </w:r>
      <w:r>
        <w:rPr>
          <w:rFonts w:hint="eastAsia" w:ascii="宋体" w:hAnsi="宋体"/>
          <w:sz w:val="24"/>
          <w:highlight w:val="none"/>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BA8BB2E"/>
    <w:multiLevelType w:val="singleLevel"/>
    <w:tmpl w:val="7BA8BB2E"/>
    <w:lvl w:ilvl="0" w:tentative="0">
      <w:start w:val="1"/>
      <w:numFmt w:val="bullet"/>
      <w:lvlText w:val=""/>
      <w:lvlJc w:val="left"/>
      <w:pPr>
        <w:tabs>
          <w:tab w:val="left" w:pos="840"/>
        </w:tabs>
        <w:ind w:left="1260" w:hanging="420"/>
      </w:pPr>
      <w:rPr>
        <w:rFonts w:hint="default" w:ascii="Wingdings" w:hAnsi="Wingdings"/>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BBE5D4C"/>
    <w:rsid w:val="0BCC364D"/>
    <w:rsid w:val="0C976991"/>
    <w:rsid w:val="0EC374CD"/>
    <w:rsid w:val="0FE61D4E"/>
    <w:rsid w:val="11A20CDB"/>
    <w:rsid w:val="151C29F3"/>
    <w:rsid w:val="1C98397C"/>
    <w:rsid w:val="1CEE5DFA"/>
    <w:rsid w:val="1DA14407"/>
    <w:rsid w:val="1E706FDD"/>
    <w:rsid w:val="1F7F39CF"/>
    <w:rsid w:val="29D20428"/>
    <w:rsid w:val="2D0E5DCC"/>
    <w:rsid w:val="2D361438"/>
    <w:rsid w:val="32D8455F"/>
    <w:rsid w:val="37AC2D77"/>
    <w:rsid w:val="38677016"/>
    <w:rsid w:val="39184CEB"/>
    <w:rsid w:val="3B4C2D3E"/>
    <w:rsid w:val="44EC1D67"/>
    <w:rsid w:val="45964E2C"/>
    <w:rsid w:val="488079DB"/>
    <w:rsid w:val="499646CD"/>
    <w:rsid w:val="4C7B1D33"/>
    <w:rsid w:val="4DED6F89"/>
    <w:rsid w:val="52510A99"/>
    <w:rsid w:val="555F5B42"/>
    <w:rsid w:val="5DC35C7F"/>
    <w:rsid w:val="62C958C2"/>
    <w:rsid w:val="657C3BB6"/>
    <w:rsid w:val="6DC533E1"/>
    <w:rsid w:val="779F12EB"/>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link w:val="11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index 8"/>
    <w:basedOn w:val="1"/>
    <w:next w:val="1"/>
    <w:qFormat/>
    <w:uiPriority w:val="0"/>
    <w:pPr>
      <w:ind w:left="1400" w:leftChars="14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6"/>
    <w:qFormat/>
    <w:uiPriority w:val="0"/>
    <w:rPr>
      <w:rFonts w:ascii="Times New Roman" w:hAnsi="Times New Roman"/>
      <w:sz w:val="24"/>
    </w:rPr>
  </w:style>
  <w:style w:type="character" w:customStyle="1" w:styleId="79">
    <w:name w:val="标题 5 字符"/>
    <w:basedOn w:val="56"/>
    <w:link w:val="7"/>
    <w:qFormat/>
    <w:uiPriority w:val="9"/>
    <w:rPr>
      <w:rFonts w:ascii="Times New Roman" w:hAnsi="Times New Roman"/>
      <w:b/>
      <w:sz w:val="28"/>
    </w:rPr>
  </w:style>
  <w:style w:type="character" w:customStyle="1" w:styleId="80">
    <w:name w:val="标题 6 字符"/>
    <w:basedOn w:val="56"/>
    <w:link w:val="8"/>
    <w:qFormat/>
    <w:uiPriority w:val="9"/>
    <w:rPr>
      <w:rFonts w:ascii="Arial" w:hAnsi="Arial" w:eastAsia="黑体"/>
      <w:b/>
      <w:sz w:val="24"/>
    </w:rPr>
  </w:style>
  <w:style w:type="character" w:customStyle="1" w:styleId="81">
    <w:name w:val="标题 7 字符"/>
    <w:basedOn w:val="56"/>
    <w:link w:val="9"/>
    <w:qFormat/>
    <w:uiPriority w:val="9"/>
    <w:rPr>
      <w:rFonts w:ascii="Times New Roman" w:hAnsi="Times New Roman"/>
      <w:b/>
      <w:sz w:val="24"/>
    </w:rPr>
  </w:style>
  <w:style w:type="character" w:customStyle="1" w:styleId="82">
    <w:name w:val="标题 8 字符"/>
    <w:basedOn w:val="56"/>
    <w:link w:val="10"/>
    <w:qFormat/>
    <w:uiPriority w:val="0"/>
    <w:rPr>
      <w:rFonts w:ascii="Arial" w:hAnsi="Arial" w:eastAsia="黑体"/>
      <w:sz w:val="24"/>
    </w:rPr>
  </w:style>
  <w:style w:type="character" w:customStyle="1" w:styleId="83">
    <w:name w:val="标题 9 字符"/>
    <w:basedOn w:val="56"/>
    <w:link w:val="11"/>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5"/>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5"/>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5"/>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6"/>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7"/>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8"/>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9"/>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6"/>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2026-03-16T04:14:59Z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